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PIS用户操作手册</w:t>
      </w:r>
    </w:p>
    <w:p>
      <w:pPr>
        <w:pStyle w:val="Subtitle"/>
      </w:pPr>
      <w:r>
        <w:t>页面截图版</w:t>
      </w:r>
    </w:p>
    <w:p>
      <w:r>
        <w:t>V1.0  ·  内容基线 2026年10月4日  ·  文件恢复核验 2026年10月6日</w:t>
      </w:r>
    </w:p>
    <w:p>
      <w:r>
        <w:t>面向首次使用病理信息系统的用户，按入口、操作、成功状态和注意事项说明开发演示工作流。优先使用桌面浏览器；PDF可在手机上放大查看页面局部。</w:t>
      </w:r>
    </w:p>
    <w:p>
      <w:pPr>
        <w:pStyle w:val="Heading2"/>
      </w:pPr>
      <w:r>
        <w:t>先确认使用边界</w:t>
      </w:r>
    </w:p>
    <w:p>
      <w:r>
        <w:t>• 本手册适用于隔离的合成数据开发演练，不用于诊疗、医院生产或真实患者业务。</w:t>
      </w:r>
    </w:p>
    <w:p>
      <w:r>
        <w:t>• 页面图片来自仓库保存的实际浏览器开发测试截图，接口数据为合成或mock夹具；不是本次云浏览器新访问的截图。</w:t>
      </w:r>
    </w:p>
    <w:p>
      <w:r>
        <w:t>• 本次未提供可对外访问的网址。开始前，请向环境管理员取得有效访问地址、已分配账号及工作范围。</w:t>
      </w:r>
    </w:p>
    <w:p>
      <w:pPr>
        <w:pStyle w:val="Heading2"/>
      </w:pPr>
      <w:r>
        <w:t>你将学会</w:t>
      </w:r>
    </w:p>
    <w:p>
      <w:r>
        <w:t>登录并识别工作范围；按申请、材料、报告的身份链处理业务；查看合成图像和ROI；检查合成任务、人工引用及其失效记录；识别权限、连接和未确认请求。</w:t>
      </w:r>
    </w:p>
    <w:p>
      <w:pPr>
        <w:pStyle w:val="Heading2"/>
      </w:pPr>
      <w:r>
        <w:t>版本与证据</w:t>
      </w:r>
    </w:p>
    <w:p>
      <w:r>
        <w:t>文字与按钮依据：PIS main 精确提交 9106b7f75cb1355c1df3d53407051622c18e5e72。</w:t>
      </w:r>
    </w:p>
    <w:p>
      <w:r>
        <w:t>截图涵盖 T31、T33、T34、T35、T36、T37、T38、T42 开发阶段，保留各阶段真实画面；部分菜单和说明可能与当前版本有差异。图下均标出来源阶段，文末提供逐图原件链接。</w:t>
      </w:r>
    </w:p>
    <w:p>
      <w:pPr>
        <w:pStyle w:val="Caption"/>
      </w:pPr>
      <w:r>
        <w:t xml:space="preserve">核对来源  </w:t>
      </w:r>
      <w:hyperlink r:id="rId10">
        <w:r>
          <w:rPr>
            <w:color w:val="245B70"/>
            <w:sz w:val="17"/>
          </w:rPr>
          <w:t>t42-synthetic-demo.md</w:t>
        </w:r>
      </w:hyperlink>
      <w:r>
        <w:t xml:space="preserve">  ·  </w:t>
      </w:r>
      <w:hyperlink r:id="rId11">
        <w:r>
          <w:rPr>
            <w:color w:val="245B70"/>
            <w:sz w:val="17"/>
          </w:rPr>
          <w:t>report.md</w:t>
        </w:r>
      </w:hyperlink>
      <w:r>
        <w:t xml:space="preserve">  ·  </w:t>
      </w:r>
      <w:hyperlink r:id="rId12">
        <w:r>
          <w:rPr>
            <w:color w:val="245B70"/>
            <w:sz w:val="17"/>
          </w:rPr>
          <w:t>matrix.md</w:t>
        </w:r>
      </w:hyperlink>
    </w:p>
    <w:p>
      <w:r>
        <w:rPr>
          <w:b/>
        </w:rPr>
        <w:t>安全提醒：</w:t>
      </w:r>
      <w:r>
        <w:t>不输入真实患者、条码、报告或凭据；不连接真实模型、扫描仪、医院接口、打印机或CA。</w:t>
      </w:r>
    </w:p>
    <w:p>
      <w:pPr>
        <w:pStyle w:val="Heading1"/>
        <w:pageBreakBefore/>
      </w:pPr>
      <w:r>
        <w:t>阅读顺序与目录</w:t>
      </w:r>
    </w:p>
    <w:p>
      <w:r>
        <w:t>新手先读第3至5页。第6至10页为业务文字步骤，第11至21页为截图说明。用每节的“成功状态”检查是否完成，不只凭点击或HTTP成功判断。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936"/>
        <w:gridCol w:w="4752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页码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内容形式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登录与连接失败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3–4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真实构建页面截图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工作区与入口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页面截图及入口说明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登记 接收 标签 取材 技术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6–7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源码及E2E脚本核对的步骤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材料QC 诊断 报告 归档 扫描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8–10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源码及E2E脚本核对的步骤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阅片 ROI 双视图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11–14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实际浏览器截图和局部放大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AI契约 合成任务 结果叠加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15–17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实际浏览器截图和局部放大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人工引用及失效复核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18–19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实际浏览器截图和局部放大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本地接口与受限运维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20–21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实际浏览器截图和局部放大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错误处理与交接检查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问题处理清单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截图索引与功能边界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23–24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原图和来源链接</w:t>
            </w:r>
          </w:p>
        </w:tc>
      </w:tr>
    </w:tbl>
    <w:p>
      <w:r/>
    </w:p>
    <w:p>
      <w:pPr>
        <w:pStyle w:val="Heading2"/>
      </w:pPr>
      <w:r>
        <w:t>截图怎么看</w:t>
      </w:r>
    </w:p>
    <w:p>
      <w:r>
        <w:t>“实际浏览器截图”指应用界面由浏览器实际渲染，未使用原型PNG或重新绘制的界面。它不等于真实医院数据、真实后端全链路或生产环境已验收。</w:t>
      </w:r>
    </w:p>
    <w:p>
      <w:r>
        <w:t>长页面按相关区域裁切，图注写明“局部”或“分区节选”。裁切只为阅读，未修改页面文字、状态或结果像素。完整上下文见文末原图链接。编号S01至S13对应13张不同原图；同图可分区放大，各页样例ID不构成连续病例。</w:t>
      </w:r>
    </w:p>
    <w:p>
      <w:pPr>
        <w:pStyle w:val="Heading2"/>
      </w:pPr>
      <w:r>
        <w:t>统一规则</w:t>
      </w:r>
    </w:p>
    <w:p>
      <w:r>
        <w:t>先核对身份和版本，再执行操作。结果待确认时保留原请求；无权限、依赖未就绪或来源失效时停止该步骤并交由负责人处理。</w:t>
      </w:r>
    </w:p>
    <w:p>
      <w:pPr>
        <w:pStyle w:val="Heading1"/>
        <w:pageBreakBefore/>
      </w:pPr>
      <w:r>
        <w:t>登录系统</w:t>
      </w:r>
    </w:p>
    <w:p>
      <w:r>
        <w:rPr>
          <w:b/>
        </w:rPr>
        <w:t>目的：</w:t>
      </w:r>
      <w:r>
        <w:t>进入管理员提供的隔离开发环境。入口：管理员确认可访问的PIS地址。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5349240" cy="4477512"/>
            <wp:docPr id="1" name="Picture 1" descr="S01  登录页局部  ·  T42实际dist构建  ·  身份API为mock  ·  仓库已保存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7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S01  登录页局部  ·  T42实际dist构建  ·  身份API为mock  ·  仓库已保存截图</w:t>
      </w:r>
    </w:p>
    <w:p>
      <w:r>
        <w:t>1  输入管理员分配的用户名和密码，点击“登录”。不要从截图或仓库复制演示密码。</w:t>
      </w:r>
    </w:p>
    <w:p>
      <w:r>
        <w:t>2  登录后查找“申请登记工作区”。进入工作区后选择“授权工作范围”。</w:t>
      </w:r>
    </w:p>
    <w:p>
      <w:r>
        <w:t>3  首次使用确认页面提示为合成开发环境，并检查业务工作范围是否正确。</w:t>
      </w:r>
    </w:p>
    <w:p>
      <w:r>
        <w:rPr>
          <w:b/>
        </w:rPr>
        <w:t>成功状态：</w:t>
      </w:r>
      <w:r>
        <w:t>进入已登录页面，且可加载本人获准使用的工作范围。截图只说明登录界面外观，不证明某一账号现在可用。</w:t>
      </w:r>
    </w:p>
    <w:p>
      <w:r>
        <w:rPr>
          <w:b/>
        </w:rPr>
        <w:t>注意事项：</w:t>
      </w:r>
      <w:r>
        <w:t>登录成功不自动获得病例、申请或临床操作权限；管理员身份也不等于临床岗位资格。</w:t>
      </w:r>
    </w:p>
    <w:p>
      <w:pPr>
        <w:pStyle w:val="Caption"/>
      </w:pPr>
      <w:r>
        <w:t xml:space="preserve">核对来源  </w:t>
      </w:r>
      <w:hyperlink r:id="rId14">
        <w:r>
          <w:rPr>
            <w:color w:val="245B70"/>
            <w:sz w:val="17"/>
          </w:rPr>
          <w:t>App.tsx</w:t>
        </w:r>
      </w:hyperlink>
      <w:r>
        <w:t xml:space="preserve">  ·  </w:t>
      </w:r>
      <w:hyperlink r:id="rId15">
        <w:r>
          <w:rPr>
            <w:color w:val="245B70"/>
            <w:sz w:val="17"/>
          </w:rPr>
          <w:t>WorkflowWorkspace.tsx</w:t>
        </w:r>
      </w:hyperlink>
      <w:r>
        <w:t xml:space="preserve">  ·  </w:t>
      </w:r>
      <w:hyperlink r:id="rId16">
        <w:r>
          <w:rPr>
            <w:color w:val="245B70"/>
            <w:sz w:val="17"/>
          </w:rPr>
          <w:t>README.md</w:t>
        </w:r>
      </w:hyperlink>
    </w:p>
    <w:p>
      <w:pPr>
        <w:pStyle w:val="Heading1"/>
        <w:pageBreakBefore/>
      </w:pPr>
      <w:r>
        <w:t>识别连接失败</w:t>
      </w:r>
    </w:p>
    <w:p>
      <w:r>
        <w:rPr>
          <w:b/>
        </w:rPr>
        <w:t>目的：</w:t>
      </w:r>
      <w:r>
        <w:t>区分登录状态与后端连接状态。入口：登录后的工程验证页。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4378518"/>
            <wp:docPr id="2" name="Picture 2" descr="S02  连接失败页局部  ·  T42实际dist构建  ·  mock身份及502故障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7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S02  连接失败页局部  ·  T42实际dist构建  ·  mock身份及502故障场景</w:t>
      </w:r>
    </w:p>
    <w:p>
      <w:r>
        <w:t>1  看到“连接失败”“后端请求失败（HTTP 502）”时，暂停业务操作并记录错误。</w:t>
      </w:r>
    </w:p>
    <w:p>
      <w:r>
        <w:t>2  确认管理员提供的访问地址和环境状态后，可点击“重新请求”。</w:t>
      </w:r>
    </w:p>
    <w:p>
      <w:r>
        <w:t>3  若持续失败，把错误码、发生时间和所处页面交给管理员；不要反复提交业务表单。</w:t>
      </w:r>
    </w:p>
    <w:p>
      <w:r>
        <w:rPr>
          <w:b/>
        </w:rPr>
        <w:t>成功状态：</w:t>
      </w:r>
      <w:r>
        <w:t>重新请求后出现实际后端响应，且目标工作区数据能正常加载。工程页的登录标识、工作区入口本身不能代替此检查。</w:t>
      </w:r>
    </w:p>
    <w:p>
      <w:r>
        <w:rPr>
          <w:b/>
        </w:rPr>
        <w:t>访问说明：</w:t>
      </w:r>
      <w:r>
        <w:t>此前云浏览器访问本地入口返回ERR_BLOCKED_BY_CLIENT，未取得新的访问截图。本图是仓库原有故障演示，不代表该访问问题已修复。</w:t>
      </w:r>
    </w:p>
    <w:p>
      <w:pPr>
        <w:pStyle w:val="Caption"/>
      </w:pPr>
      <w:r>
        <w:t xml:space="preserve">核对来源  </w:t>
      </w:r>
      <w:hyperlink r:id="rId16">
        <w:r>
          <w:rPr>
            <w:color w:val="245B70"/>
            <w:sz w:val="17"/>
          </w:rPr>
          <w:t>README.md</w:t>
        </w:r>
      </w:hyperlink>
      <w:r>
        <w:t xml:space="preserve">  ·  </w:t>
      </w:r>
      <w:hyperlink r:id="rId14">
        <w:r>
          <w:rPr>
            <w:color w:val="245B70"/>
            <w:sz w:val="17"/>
          </w:rPr>
          <w:t>App.tsx</w:t>
        </w:r>
      </w:hyperlink>
    </w:p>
    <w:p>
      <w:pPr>
        <w:pStyle w:val="Heading1"/>
        <w:pageBreakBefore/>
      </w:pPr>
      <w:r>
        <w:t>工作区与正确入口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3380422"/>
            <wp:docPr id="3" name="Picture 3" descr="S03  工作区顶部及侧栏局部  ·  T42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S03  工作区顶部及侧栏局部  ·  T42实际浏览器  ·  HTTP mock合成数据</w:t>
      </w:r>
    </w:p>
    <w:p>
      <w:r>
        <w:rPr>
          <w:b/>
        </w:rPr>
        <w:t>目的：</w:t>
      </w:r>
      <w:r>
        <w:t>在正确的工作范围和病例上下文中进入业务。入口：“申请登记工作区”。</w:t>
      </w:r>
    </w:p>
    <w:p>
      <w:r>
        <w:t>1  先选择“授权工作范围”。若为空或显示无业务授权，联系管理员核实范围。</w:t>
      </w:r>
    </w:p>
    <w:p>
      <w:r>
        <w:t>2  多数业务从“申请单查询”开始，点击目标行“查看 {申请号}”，进入申请详情。</w:t>
      </w:r>
    </w:p>
    <w:p>
      <w:r>
        <w:t>3  再点详情内“处理此申请接收与异常”“处理此病例取材”等对应入口。只点侧栏通常不会带入申请上下文。</w:t>
      </w:r>
    </w:p>
    <w:p>
      <w:r>
        <w:t>4  报告相关页面使用诊断队列选病例；扫描、数字QC、阅片使用精确扫描上下文。</w:t>
      </w:r>
    </w:p>
    <w:p>
      <w:r>
        <w:rPr>
          <w:b/>
        </w:rPr>
        <w:t>成功状态：</w:t>
      </w:r>
      <w:r>
        <w:t>标题、工作范围、当前申请或病例身份与预期一致，页面不再提示“请从申请详情进入”。</w:t>
      </w:r>
    </w:p>
    <w:p>
      <w:r>
        <w:rPr>
          <w:b/>
        </w:rPr>
        <w:t>注意事项：</w:t>
      </w:r>
      <w:r>
        <w:t>切换页面、工作范围或退出时，未保存表单会要求确认；选“继续编辑”可保留输入。结果待确认的请求须先在原页确认。</w:t>
      </w:r>
    </w:p>
    <w:p>
      <w:pPr>
        <w:pStyle w:val="Caption"/>
      </w:pPr>
      <w:r>
        <w:t xml:space="preserve">核对来源  </w:t>
      </w:r>
      <w:hyperlink r:id="rId15">
        <w:r>
          <w:rPr>
            <w:color w:val="245B70"/>
            <w:sz w:val="17"/>
          </w:rPr>
          <w:t>WorkflowWorkspace.tsx</w:t>
        </w:r>
      </w:hyperlink>
    </w:p>
    <w:p>
      <w:pPr>
        <w:pStyle w:val="Heading1"/>
        <w:pageBreakBefore/>
      </w:pPr>
      <w:r>
        <w:t>登记申请与接收标本</w:t>
      </w:r>
    </w:p>
    <w:p>
      <w:r>
        <w:t>本节为文字操作指引，未附该模块独立页面截图。</w:t>
      </w:r>
    </w:p>
    <w:p>
      <w:pPr>
        <w:pStyle w:val="Heading2"/>
      </w:pPr>
      <w:r>
        <w:t>进入授权工作区</w:t>
      </w:r>
    </w:p>
    <w:p>
      <w:r>
        <w:t>1. 使用已分配账号点击“登录”，再进入“申请登记工作区”，选择“授权工作范围”。</w:t>
        <w:br/>
        <w:t>2. 已有申请从“申请单查询”检索，点击“查看 {申请号}”进入详情。接收、标签、取材等操作须从该详情携带当前申请进入；单击侧栏并不会自动选中病例。</w:t>
        <w:br/>
        <w:t>3. 操作前核对申请号、患者标识、就诊号和版本。没有授权范围时应交由授权人员核查，不以其他病例权限代替申请授权。</w:t>
      </w:r>
    </w:p>
    <w:p>
      <w:pPr>
        <w:pStyle w:val="Heading2"/>
      </w:pPr>
      <w:r>
        <w:t>登记 编辑与提交</w:t>
      </w:r>
    </w:p>
    <w:p>
      <w:r>
        <w:t>1. 打开“病理申请录入”，填写“精确就诊号”，点击“查找就诊”，选择已核对就诊。</w:t>
        <w:br/>
        <w:t>2. 填写临床诊断与病史、采样时间及容器部位、侧别、数量、固定液和固定时间，再点“保存草稿”。时间输入与展示均为 UTC。</w:t>
        <w:br/>
        <w:t>3. 返回列表打开草稿，修改后再次保存；重新打开核对，点击“核对后提交”。提交前须补齐病史、采样及固定信息；已有本地修改时须先保存。</w:t>
      </w:r>
    </w:p>
    <w:p>
      <w:pPr>
        <w:pStyle w:val="Heading2"/>
      </w:pPr>
      <w:r>
        <w:t>接收 异常与退回</w:t>
      </w:r>
    </w:p>
    <w:p>
      <w:r>
        <w:t>1. 在详情点击“处理此申请接收与异常”，核对计划容器，填写实物患者 UUID、就诊号和逐个容器 UUID，再点“核对并接收”。容器以空白分隔，重复输入不会自动去重。</w:t>
        <w:br/>
        <w:t>2. 有异常时填写类别和事实，点击“登记异常”。仅信息异常可补充说明后“补充后恢复待接收”；身份或数量异常不能自行修正并恢复。</w:t>
        <w:br/>
        <w:t>3. 需退回时填写退回原因并点“记录退回”，随后核对最新状态和处理轨迹。</w:t>
      </w:r>
    </w:p>
    <w:p>
      <w:r>
        <w:rPr>
          <w:b/>
        </w:rPr>
        <w:t>成功状态：</w:t>
      </w:r>
      <w:r>
        <w:t>提交成功显示“待接收”；接收成功显示“已接收”和病理号；退回显示“已退回”。以服务器确认后的最新状态为准。</w:t>
      </w:r>
    </w:p>
    <w:p>
      <w:r>
        <w:rPr>
          <w:b/>
        </w:rPr>
        <w:t>注意事项：</w:t>
      </w:r>
      <w:r>
        <w:t>仅合成数据。已登记容器不可新增或移除；同一就诊重复提交受阻。“有条件接收”禁用，软件退回不证明实物已交接。结果待确认时用原请求确认按钮，不要重新登记。</w:t>
      </w:r>
    </w:p>
    <w:p>
      <w:pPr>
        <w:pStyle w:val="Caption"/>
      </w:pPr>
      <w:r>
        <w:t xml:space="preserve">核对来源  </w:t>
      </w:r>
      <w:hyperlink r:id="rId14">
        <w:r>
          <w:rPr>
            <w:color w:val="245B70"/>
            <w:sz w:val="17"/>
          </w:rPr>
          <w:t>App.tsx</w:t>
        </w:r>
      </w:hyperlink>
      <w:r>
        <w:t xml:space="preserve">  ·  </w:t>
      </w:r>
      <w:hyperlink r:id="rId15">
        <w:r>
          <w:rPr>
            <w:color w:val="245B70"/>
            <w:sz w:val="17"/>
          </w:rPr>
          <w:t>WorkflowWorkspace.tsx</w:t>
        </w:r>
      </w:hyperlink>
      <w:r>
        <w:t xml:space="preserve">  ·  </w:t>
      </w:r>
      <w:hyperlink r:id="rId19">
        <w:r>
          <w:rPr>
            <w:color w:val="245B70"/>
            <w:sz w:val="17"/>
          </w:rPr>
          <w:t>Registration.tsx</w:t>
        </w:r>
      </w:hyperlink>
      <w:r>
        <w:t xml:space="preserve">  ·  </w:t>
      </w:r>
      <w:hyperlink r:id="rId20">
        <w:r>
          <w:rPr>
            <w:color w:val="245B70"/>
            <w:sz w:val="17"/>
          </w:rPr>
          <w:t>RequestList.tsx</w:t>
        </w:r>
      </w:hyperlink>
      <w:r>
        <w:t xml:space="preserve">  ·  </w:t>
      </w:r>
      <w:hyperlink r:id="rId21">
        <w:r>
          <w:rPr>
            <w:color w:val="245B70"/>
            <w:sz w:val="17"/>
          </w:rPr>
          <w:t>Reception.tsx</w:t>
        </w:r>
      </w:hyperlink>
      <w:r>
        <w:t xml:space="preserve">  ·  </w:t>
      </w:r>
      <w:hyperlink r:id="rId22">
        <w:r>
          <w:rPr>
            <w:color w:val="245B70"/>
            <w:sz w:val="17"/>
          </w:rPr>
          <w:t>accession.spec.ts</w:t>
        </w:r>
      </w:hyperlink>
      <w:r>
        <w:t xml:space="preserve">  ·  </w:t>
      </w:r>
      <w:hyperlink r:id="rId23">
        <w:r>
          <w:rPr>
            <w:color w:val="245B70"/>
            <w:sz w:val="17"/>
          </w:rPr>
          <w:t>reception.spec.ts</w:t>
        </w:r>
      </w:hyperlink>
    </w:p>
    <w:p>
      <w:pPr>
        <w:pStyle w:val="Heading1"/>
        <w:pageBreakBefore/>
      </w:pPr>
      <w:r>
        <w:t>标签取材与技术交接</w:t>
      </w:r>
    </w:p>
    <w:p>
      <w:r>
        <w:t>本节为文字操作指引，未附该模块独立页面截图。</w:t>
      </w:r>
    </w:p>
    <w:p>
      <w:pPr>
        <w:pStyle w:val="Heading2"/>
      </w:pPr>
      <w:r>
        <w:t>标签预览 校验与重打</w:t>
      </w:r>
    </w:p>
    <w:p>
      <w:r>
        <w:t>1. 申请详情点击“处理此申请标签”，选择容器实体，点击“创建标签任务”，再“打开标签预览”。核对实体、申请、病理号和模板。</w:t>
        <w:br/>
        <w:t>2. 在“扫描条码校验此容器”输入条码，点击“校验条码身份”。需要打印预览时点击“打开浏览器打印对话框”。</w:t>
        <w:br/>
        <w:t>3. 重打须填写操作原因，点击“同实体重打”；任务失败后可填写原因并“重试此任务”。重打保留实体身份，并记录来源任务。</w:t>
      </w:r>
    </w:p>
    <w:p>
      <w:pPr>
        <w:pStyle w:val="Heading2"/>
      </w:pPr>
      <w:r>
        <w:t>建立并完成取材记录</w:t>
      </w:r>
    </w:p>
    <w:p>
      <w:r>
        <w:t>1. 已接收申请详情点击“处理此病例取材”，填写大体描述，点击“建立取材记录”。</w:t>
        <w:br/>
        <w:t>2. “取材操作”选“新增取材盒”，选择来源已接收容器，填写取材部位和材料块数，再点击同名按钮。</w:t>
        <w:br/>
        <w:t>3. 如需附件，选择“添加合成图像”，核对关联容器，点击“选择随包合成PNG样本”，再保存附件。选择样本本身尚未保存。</w:t>
        <w:br/>
        <w:t>4. 选“完成取材记录”，填写原因并提交。完成后仅能追加“更正已完成描述”，旧描述修订仍保留。</w:t>
      </w:r>
    </w:p>
    <w:p>
      <w:pPr>
        <w:pStyle w:val="Heading2"/>
      </w:pPr>
      <w:r>
        <w:t>技术任务与人员交接</w:t>
      </w:r>
    </w:p>
    <w:p>
      <w:r>
        <w:t>1. 详情点击“处理此病例技术任务”，选择已释放取材盒和处理、包埋或切片任务类别，填写路线说明，点击“保存技术任务”。</w:t>
        <w:br/>
        <w:t>2. 打开任务，在“技术任务操作”选“核对并领取”，填写来源盒 UUID 和说明，点击“确认技术任务操作”。</w:t>
        <w:br/>
        <w:t>3. 交接时选“发起人员交接”；接收方登录后打开同一任务，选“核对并接收交接”并提交。</w:t>
        <w:br/>
        <w:t>4. 合成演练结束后选“记录合成演练完成”，核对任务状态、持有人和追加操作历史。</w:t>
      </w:r>
    </w:p>
    <w:p>
      <w:r>
        <w:rPr>
          <w:b/>
        </w:rPr>
        <w:t>成功状态：</w:t>
      </w:r>
      <w:r>
        <w:t>标签显示“可预览（未确认实物打印）”；取材为 COMPLETED；待交接为 HANDOFF_PENDING，技术演练完成为 SIMULATED_DONE。</w:t>
      </w:r>
    </w:p>
    <w:p>
      <w:r>
        <w:rPr>
          <w:b/>
        </w:rPr>
        <w:t>注意事项：</w:t>
      </w:r>
      <w:r>
        <w:t>条码一致或打印对话框关闭不证明实物打印成功。取材盒不是蜡块，技术任务不自动创建材料；本页不证明真实工艺或交接验收。照片只接受受控合成 PNG，不上传真实患者图像。</w:t>
      </w:r>
    </w:p>
    <w:p>
      <w:pPr>
        <w:pStyle w:val="Caption"/>
      </w:pPr>
      <w:r>
        <w:t xml:space="preserve">核对来源  </w:t>
      </w:r>
      <w:hyperlink r:id="rId15">
        <w:r>
          <w:rPr>
            <w:color w:val="245B70"/>
            <w:sz w:val="17"/>
          </w:rPr>
          <w:t>WorkflowWorkspace.tsx</w:t>
        </w:r>
      </w:hyperlink>
      <w:r>
        <w:t xml:space="preserve">  ·  </w:t>
      </w:r>
      <w:hyperlink r:id="rId24">
        <w:r>
          <w:rPr>
            <w:color w:val="245B70"/>
            <w:sz w:val="17"/>
          </w:rPr>
          <w:t>Labels.tsx</w:t>
        </w:r>
      </w:hyperlink>
      <w:r>
        <w:t xml:space="preserve">  ·  </w:t>
      </w:r>
      <w:hyperlink r:id="rId25">
        <w:r>
          <w:rPr>
            <w:color w:val="245B70"/>
            <w:sz w:val="17"/>
          </w:rPr>
          <w:t>Grossing.tsx</w:t>
        </w:r>
      </w:hyperlink>
      <w:r>
        <w:t xml:space="preserve">  ·  </w:t>
      </w:r>
      <w:hyperlink r:id="rId26">
        <w:r>
          <w:rPr>
            <w:color w:val="245B70"/>
            <w:sz w:val="17"/>
          </w:rPr>
          <w:t>Technical.tsx</w:t>
        </w:r>
      </w:hyperlink>
      <w:r>
        <w:t xml:space="preserve">  ·  </w:t>
      </w:r>
      <w:hyperlink r:id="rId27">
        <w:r>
          <w:rPr>
            <w:color w:val="245B70"/>
            <w:sz w:val="17"/>
          </w:rPr>
          <w:t>api.ts</w:t>
        </w:r>
      </w:hyperlink>
      <w:r>
        <w:t xml:space="preserve">  ·  </w:t>
      </w:r>
      <w:hyperlink r:id="rId28">
        <w:r>
          <w:rPr>
            <w:color w:val="245B70"/>
            <w:sz w:val="17"/>
          </w:rPr>
          <w:t>labels.spec.ts</w:t>
        </w:r>
      </w:hyperlink>
      <w:r>
        <w:t xml:space="preserve">  ·  </w:t>
      </w:r>
      <w:hyperlink r:id="rId29">
        <w:r>
          <w:rPr>
            <w:color w:val="245B70"/>
            <w:sz w:val="17"/>
          </w:rPr>
          <w:t>grossing.spec.ts</w:t>
        </w:r>
      </w:hyperlink>
      <w:r>
        <w:t xml:space="preserve">  ·  </w:t>
      </w:r>
      <w:hyperlink r:id="rId30">
        <w:r>
          <w:rPr>
            <w:color w:val="245B70"/>
            <w:sz w:val="17"/>
          </w:rPr>
          <w:t>technical.spec.ts</w:t>
        </w:r>
      </w:hyperlink>
    </w:p>
    <w:p>
      <w:pPr>
        <w:pStyle w:val="Heading1"/>
        <w:pageBreakBefore/>
      </w:pPr>
      <w:r>
        <w:t>材料质控与诊断领取</w:t>
      </w:r>
    </w:p>
    <w:p>
      <w:r>
        <w:t>本节为文字操作指引，未附该模块独立页面截图。</w:t>
      </w:r>
    </w:p>
    <w:p>
      <w:pPr>
        <w:pStyle w:val="Heading2"/>
      </w:pPr>
      <w:r>
        <w:t>材料身份与来源谱系</w:t>
      </w:r>
    </w:p>
    <w:p>
      <w:r>
        <w:t>1. 申请详情点击“处理此病例材料谱系”，按实际演练路径选择“登记合成蜡块”或“登记细胞学直制玻片”。</w:t>
        <w:br/>
        <w:t>2. 常规蜡块核对前置包埋任务、来源盒 UUID 和登记原因；直制玻片核对已接收容器，不要求蜡块或盒级任务。填写后点击对应登记按钮。</w:t>
        <w:br/>
        <w:t>3. 打开蜡块登记“原始玻片”；重切或加深时打开源玻片，选择“登记重切新玻片”或“登记加深新玻片”，核对前置切片任务和当前材料 UUID 后保存。</w:t>
        <w:br/>
        <w:t>4. 通过“精确材料条码反查”及“反查材料谱系”核对来源；另一授权病例的条码须从对应申请详情进入。</w:t>
      </w:r>
    </w:p>
    <w:p>
      <w:pPr>
        <w:pStyle w:val="Heading2"/>
      </w:pPr>
      <w:r>
        <w:t>逐实体 QC 与隔离</w:t>
      </w:r>
    </w:p>
    <w:p>
      <w:r>
        <w:t>1. 申请详情点击“处理此病例技术QC”，点击“质检材料 {UUID}”，核对患者、病例、材料及任务版本。</w:t>
        <w:br/>
        <w:t>2. 选择“追加质检判定”，明确选择结论，填写材料 UUID 和“QC事实与处置原因”，点击“提交明确QC操作”。</w:t>
        <w:br/>
        <w:t>3. 需撤销或返工时选择“撤销当前QC”或“隔离并创建返工任务”，重新填写核对信息后提交。关联返工须在技术任务页完成演练，再登记新材料并独立质检。</w:t>
      </w:r>
    </w:p>
    <w:p>
      <w:pPr>
        <w:pStyle w:val="Heading2"/>
      </w:pPr>
      <w:r>
        <w:t>诊断分配 本人领取与转交</w:t>
      </w:r>
    </w:p>
    <w:p>
      <w:r>
        <w:t>1. 打开“诊断分配与领取”，点击“处理诊断分配 {病例UUID}”，确认材料就绪和人员资格。</w:t>
        <w:br/>
        <w:t>2. 选择“本人领取”或“分配给合格人员”；分配时选择同范围合格人员。填写病例 UUID 与原因，点击“提交诊断分配操作”。</w:t>
        <w:br/>
        <w:t>3. 当前持有人可选“转交并等待对方领取”；受让人须打开病例再执行“本人领取”。必要时“刷新诊断队列与资格”核对最新门禁。</w:t>
      </w:r>
    </w:p>
    <w:p>
      <w:r>
        <w:rPr>
          <w:b/>
        </w:rPr>
        <w:t>成功状态：</w:t>
      </w:r>
      <w:r>
        <w:t>材料登记产生 UUID、条码和谱系；QC 版本及历史更新。诊断分配后为 ASSIGNED，实际领取后为 ACTIVE。</w:t>
      </w:r>
    </w:p>
    <w:p>
      <w:r>
        <w:rPr>
          <w:b/>
        </w:rPr>
        <w:t>注意事项：</w:t>
      </w:r>
      <w:r>
        <w:t>重切、加深创建新玻片；重打标签沿用原身份。未评估、待定、不合格不等于通过，异常放行禁用。材料或身份门禁未就绪时阻断分配和领取，管理员不自动取得诊断资格。</w:t>
      </w:r>
    </w:p>
    <w:p>
      <w:pPr>
        <w:pStyle w:val="Caption"/>
      </w:pPr>
      <w:r>
        <w:t xml:space="preserve">核对来源  </w:t>
      </w:r>
      <w:hyperlink r:id="rId15">
        <w:r>
          <w:rPr>
            <w:color w:val="245B70"/>
            <w:sz w:val="17"/>
          </w:rPr>
          <w:t>WorkflowWorkspace.tsx</w:t>
        </w:r>
      </w:hyperlink>
      <w:r>
        <w:t xml:space="preserve">  ·  </w:t>
      </w:r>
      <w:hyperlink r:id="rId31">
        <w:r>
          <w:rPr>
            <w:color w:val="245B70"/>
            <w:sz w:val="17"/>
          </w:rPr>
          <w:t>Materials.tsx</w:t>
        </w:r>
      </w:hyperlink>
      <w:r>
        <w:t xml:space="preserve">  ·  </w:t>
      </w:r>
      <w:hyperlink r:id="rId32">
        <w:r>
          <w:rPr>
            <w:color w:val="245B70"/>
            <w:sz w:val="17"/>
          </w:rPr>
          <w:t>api.ts</w:t>
        </w:r>
      </w:hyperlink>
      <w:r>
        <w:t xml:space="preserve">  ·  </w:t>
      </w:r>
      <w:hyperlink r:id="rId33">
        <w:r>
          <w:rPr>
            <w:color w:val="245B70"/>
            <w:sz w:val="17"/>
          </w:rPr>
          <w:t>Quality.tsx</w:t>
        </w:r>
      </w:hyperlink>
      <w:r>
        <w:t xml:space="preserve">  ·  </w:t>
      </w:r>
      <w:hyperlink r:id="rId34">
        <w:r>
          <w:rPr>
            <w:color w:val="245B70"/>
            <w:sz w:val="17"/>
          </w:rPr>
          <w:t>Diagnosis.tsx</w:t>
        </w:r>
      </w:hyperlink>
      <w:r>
        <w:t xml:space="preserve">  ·  </w:t>
      </w:r>
      <w:hyperlink r:id="rId35">
        <w:r>
          <w:rPr>
            <w:color w:val="245B70"/>
            <w:sz w:val="17"/>
          </w:rPr>
          <w:t>materials.spec.ts</w:t>
        </w:r>
      </w:hyperlink>
      <w:r>
        <w:t xml:space="preserve">  ·  </w:t>
      </w:r>
      <w:hyperlink r:id="rId36">
        <w:r>
          <w:rPr>
            <w:color w:val="245B70"/>
            <w:sz w:val="17"/>
          </w:rPr>
          <w:t>quality.spec.ts</w:t>
        </w:r>
      </w:hyperlink>
      <w:r>
        <w:t xml:space="preserve">  ·  </w:t>
      </w:r>
      <w:hyperlink r:id="rId37">
        <w:r>
          <w:rPr>
            <w:color w:val="245B70"/>
            <w:sz w:val="17"/>
          </w:rPr>
          <w:t>diagnosis.spec.ts</w:t>
        </w:r>
      </w:hyperlink>
    </w:p>
    <w:p>
      <w:pPr>
        <w:pStyle w:val="Heading1"/>
        <w:pageBreakBefore/>
      </w:pPr>
      <w:r>
        <w:t>报告草稿复核与固定PDF</w:t>
      </w:r>
    </w:p>
    <w:p>
      <w:r>
        <w:t>本节为文字操作指引，未附该模块独立页面截图。</w:t>
      </w:r>
    </w:p>
    <w:p>
      <w:pPr>
        <w:pStyle w:val="Heading2"/>
      </w:pPr>
      <w:r>
        <w:t>保存人工报告草稿</w:t>
      </w:r>
    </w:p>
    <w:p>
      <w:r>
        <w:t>1. 当前已领取的合格医生打开“报告草稿”，点击“编辑报告草稿 {病例UUID}”。</w:t>
        <w:br/>
        <w:t>2. 选择“不可变模板版本”，人工填写大体、镜下、诊断及备注；结构模板另填样本计数与人工核对字段。</w:t>
        <w:br/>
        <w:t>3. 填写病例 UUID 和草稿修订原因，点击“保存人工草稿”，检查草稿版本与不可变修订历史。切换模板会清除本地字段，不自动迁移诊断文本。</w:t>
      </w:r>
    </w:p>
    <w:p>
      <w:pPr>
        <w:pStyle w:val="Heading2"/>
      </w:pPr>
      <w:r>
        <w:t>复核及模拟签署</w:t>
      </w:r>
    </w:p>
    <w:p>
      <w:r>
        <w:t>1. 打开“复核与模拟签署”，选择病例，核对确切修订、模板、人工字段和职责分离策略。</w:t>
        <w:br/>
        <w:t>2. 选择“复核通过（合成）”或“退回修改”，填写病例 UUID 及原因，点击“提交合成复核操作”。</w:t>
        <w:br/>
        <w:t>3. 仅有资格且当前依赖有效时选择“模拟签署（无临床效力）”，提交后点击“确认合成模拟”。成功后原草稿冻结。</w:t>
      </w:r>
    </w:p>
    <w:p>
      <w:pPr>
        <w:pStyle w:val="Heading2"/>
      </w:pPr>
      <w:r>
        <w:t>固定 PDF 补充与更正</w:t>
      </w:r>
    </w:p>
    <w:p>
      <w:r>
        <w:t>1. 在“固定PDF与打印记录”选择“查看固定产物 {病例UUID}”，核对输出病例 UUID，填写访问原因，点击“生成固定合成PDF”。</w:t>
        <w:br/>
        <w:t>2. 在产物操作选择“预览固定PDF”或“下载固定PDF”，填写核对信息后点击“提交产物操作（不物理打印）”。</w:t>
        <w:br/>
        <w:t>3. 需要修改冻结报告时，打开“报告补充与更正”→“查看报告版本链 {病例UUID}”，选择“更正报告”或“补充报告”，填写病例 UUID 和强制原因，点击“创建新版本草稿”。</w:t>
        <w:br/>
        <w:t>4. 返回“报告草稿”人工修改，重新复核、模拟签署并生成固定 PDF；版本链可查看原冻结版，旧正文和产物保持不变。</w:t>
      </w:r>
    </w:p>
    <w:p>
      <w:r>
        <w:rPr>
          <w:b/>
        </w:rPr>
        <w:t>成功状态：</w:t>
      </w:r>
      <w:r>
        <w:t>草稿版本更新；复核通过为 APPROVED，模拟冻结为 SIMULATED_SIGNED；PDF 显示不可变产物及摘要。新草稿未完成前，旧冻结版尚未被替代。</w:t>
      </w:r>
    </w:p>
    <w:p>
      <w:r>
        <w:rPr>
          <w:b/>
        </w:rPr>
        <w:t>注意事项：</w:t>
      </w:r>
      <w:r>
        <w:t>仅人工合成演练，无临床、CA 或法律签署效力，不发送报告。固定栅格 PDF 不含可搜索文本或电子签名。打印记录和用户自报不是硬件确认；历史成功也不表示当前 QC 仍然就绪。</w:t>
      </w:r>
    </w:p>
    <w:p>
      <w:pPr>
        <w:pStyle w:val="Caption"/>
      </w:pPr>
      <w:r>
        <w:t xml:space="preserve">核对来源  </w:t>
      </w:r>
      <w:hyperlink r:id="rId34">
        <w:r>
          <w:rPr>
            <w:color w:val="245B70"/>
            <w:sz w:val="17"/>
          </w:rPr>
          <w:t>Diagnosis.tsx</w:t>
        </w:r>
      </w:hyperlink>
      <w:r>
        <w:t xml:space="preserve">  ·  </w:t>
      </w:r>
      <w:hyperlink r:id="rId38">
        <w:r>
          <w:rPr>
            <w:color w:val="245B70"/>
            <w:sz w:val="17"/>
          </w:rPr>
          <w:t>ReportEditor.tsx</w:t>
        </w:r>
      </w:hyperlink>
      <w:r>
        <w:t xml:space="preserve">  ·  </w:t>
      </w:r>
      <w:hyperlink r:id="rId39">
        <w:r>
          <w:rPr>
            <w:color w:val="245B70"/>
            <w:sz w:val="17"/>
          </w:rPr>
          <w:t>ReviewEditor.tsx</w:t>
        </w:r>
      </w:hyperlink>
      <w:r>
        <w:t xml:space="preserve">  ·  </w:t>
      </w:r>
      <w:hyperlink r:id="rId40">
        <w:r>
          <w:rPr>
            <w:color w:val="245B70"/>
            <w:sz w:val="17"/>
          </w:rPr>
          <w:t>OutputEditor.tsx</w:t>
        </w:r>
      </w:hyperlink>
      <w:r>
        <w:t xml:space="preserve">  ·  </w:t>
      </w:r>
      <w:hyperlink r:id="rId41">
        <w:r>
          <w:rPr>
            <w:color w:val="245B70"/>
            <w:sz w:val="17"/>
          </w:rPr>
          <w:t>outputApi.ts</w:t>
        </w:r>
      </w:hyperlink>
      <w:r>
        <w:t xml:space="preserve">  ·  </w:t>
      </w:r>
      <w:hyperlink r:id="rId42">
        <w:r>
          <w:rPr>
            <w:color w:val="245B70"/>
            <w:sz w:val="17"/>
          </w:rPr>
          <w:t>AmendmentEditor.tsx</w:t>
        </w:r>
      </w:hyperlink>
      <w:r>
        <w:t xml:space="preserve">  ·  </w:t>
      </w:r>
      <w:hyperlink r:id="rId43">
        <w:r>
          <w:rPr>
            <w:color w:val="245B70"/>
            <w:sz w:val="17"/>
          </w:rPr>
          <w:t>report.spec.ts</w:t>
        </w:r>
      </w:hyperlink>
      <w:r>
        <w:t xml:space="preserve">  ·  </w:t>
      </w:r>
      <w:hyperlink r:id="rId44">
        <w:r>
          <w:rPr>
            <w:color w:val="245B70"/>
            <w:sz w:val="17"/>
          </w:rPr>
          <w:t>review.spec.ts</w:t>
        </w:r>
      </w:hyperlink>
      <w:r>
        <w:t xml:space="preserve">  ·  </w:t>
      </w:r>
      <w:hyperlink r:id="rId45">
        <w:r>
          <w:rPr>
            <w:color w:val="245B70"/>
            <w:sz w:val="17"/>
          </w:rPr>
          <w:t>output.spec.ts</w:t>
        </w:r>
      </w:hyperlink>
      <w:r>
        <w:t xml:space="preserve">  ·  </w:t>
      </w:r>
      <w:hyperlink r:id="rId46">
        <w:r>
          <w:rPr>
            <w:color w:val="245B70"/>
            <w:sz w:val="17"/>
          </w:rPr>
          <w:t>amendment.spec.ts</w:t>
        </w:r>
      </w:hyperlink>
    </w:p>
    <w:p>
      <w:pPr>
        <w:pStyle w:val="Heading1"/>
        <w:pageBreakBefore/>
      </w:pPr>
      <w:r>
        <w:t>归档原件与扫描质控</w:t>
      </w:r>
    </w:p>
    <w:p>
      <w:r>
        <w:t>本节为文字操作指引，未附该模块独立页面截图。</w:t>
      </w:r>
    </w:p>
    <w:p>
      <w:pPr>
        <w:pStyle w:val="Heading2"/>
      </w:pPr>
      <w:r>
        <w:t>档案入库与借还</w:t>
      </w:r>
    </w:p>
    <w:p>
      <w:r>
        <w:t>1. 申请详情点击“处理此申请档案”，选择“登记档案入库”，核对既有来源、条码、保管资料及申请 UUID，点击“登记档案入库并保存”。</w:t>
        <w:br/>
        <w:t>2. 选择“申请并预约借阅”，填写范围、有效借用者、目的和带时区期限，点击对应“并保存”按钮；由有审批资格的另一人员选择借阅单，执行“审批借阅并保存”。</w:t>
        <w:br/>
        <w:t>3. 保管人员逐件核对条码，分别执行“逐项登记借出并保存”和“逐项登记归还并保存”，检查逐项状态。</w:t>
      </w:r>
    </w:p>
    <w:p>
      <w:pPr>
        <w:pStyle w:val="Heading2"/>
      </w:pPr>
      <w:r>
        <w:t>原件与扫描导入</w:t>
      </w:r>
    </w:p>
    <w:p>
      <w:r>
        <w:t>1. 从详情“处理此申请原件”核对已准备的原件版本，并准备材料 QC 通过的玻片。原件 READY 只说明原件就绪，不代表其格式可以阅片；扫描须使用合成头或 RGB 专用原件。</w:t>
        <w:br/>
        <w:t>2. 点击“处理此申请扫描导入”，选择物理玻片，核对病例、患者、条码和原件版本，填写来源、扫描仪编号及原因，点击“登记逐项导入”。多项可先“加入已核对批次”，提交后逐项核对结果。</w:t>
        <w:br/>
        <w:t>3. 在任务行依次执行“领取尝试”和“本地解析合成头”；重扫须“选择重扫来源”并使用新原件版本，不能覆盖旧扫描。</w:t>
      </w:r>
    </w:p>
    <w:p>
      <w:pPr>
        <w:pStyle w:val="Heading2"/>
      </w:pPr>
      <w:r>
        <w:t>数字 QC 与显式发布</w:t>
      </w:r>
    </w:p>
    <w:p>
      <w:r>
        <w:t>1. 任务达到 PENDING_DIGITAL_QC 后点击“数字QC {序列}”，核对扫描、玻片、原件及摘要。</w:t>
        <w:br/>
        <w:t>2. 明确填写覆盖、焦点、缺失评价、覆盖百分比、缺失瓦片数和人工备注，点击“追加人工评价”；需要记录缺陷时按页面格式逐行填写区域。</w:t>
        <w:br/>
        <w:t>3. 评价通过后另填原因，点击“发布合成契约版本”；需要撤回时填原因并“撤销QC并隔离”。仅已发布且支持的合成 RGB 夹具可进入合成阅片器。</w:t>
      </w:r>
    </w:p>
    <w:p>
      <w:r>
        <w:rPr>
          <w:b/>
        </w:rPr>
        <w:t>成功状态：</w:t>
      </w:r>
      <w:r>
        <w:t>档案全部归还后显示“登记归还完毕”；数字发布为 PUBLISHED_SYNTHETIC_CONTRACT，撤销后为 ISOLATED。</w:t>
      </w:r>
    </w:p>
    <w:p>
      <w:r>
        <w:rPr>
          <w:b/>
        </w:rPr>
        <w:t>注意事项：</w:t>
      </w:r>
      <w:r>
        <w:t>档案是人工台账，物理确认未验证；无销毁操作。导入不等于发布，合成头不等于可阅片图像，真实 WSI 未支持。停止等待或清除本地输入不会撤销服务器操作，结果不明时以原键确认。</w:t>
      </w:r>
    </w:p>
    <w:p>
      <w:pPr>
        <w:pStyle w:val="Caption"/>
      </w:pPr>
      <w:r>
        <w:t xml:space="preserve">核对来源  </w:t>
      </w:r>
      <w:hyperlink r:id="rId15">
        <w:r>
          <w:rPr>
            <w:color w:val="245B70"/>
            <w:sz w:val="17"/>
          </w:rPr>
          <w:t>WorkflowWorkspace.tsx</w:t>
        </w:r>
      </w:hyperlink>
      <w:r>
        <w:t xml:space="preserve">  ·  </w:t>
      </w:r>
      <w:hyperlink r:id="rId47">
        <w:r>
          <w:rPr>
            <w:color w:val="245B70"/>
            <w:sz w:val="17"/>
          </w:rPr>
          <w:t>Archive.tsx</w:t>
        </w:r>
      </w:hyperlink>
      <w:r>
        <w:t xml:space="preserve">  ·  </w:t>
      </w:r>
      <w:hyperlink r:id="rId48">
        <w:r>
          <w:rPr>
            <w:color w:val="245B70"/>
            <w:sz w:val="17"/>
          </w:rPr>
          <w:t>api.ts</w:t>
        </w:r>
      </w:hyperlink>
      <w:r>
        <w:t xml:space="preserve">  ·  </w:t>
      </w:r>
      <w:hyperlink r:id="rId49">
        <w:r>
          <w:rPr>
            <w:color w:val="245B70"/>
            <w:sz w:val="17"/>
          </w:rPr>
          <w:t>Storage.tsx</w:t>
        </w:r>
      </w:hyperlink>
      <w:r>
        <w:t xml:space="preserve">  ·  </w:t>
      </w:r>
      <w:hyperlink r:id="rId50">
        <w:r>
          <w:rPr>
            <w:color w:val="245B70"/>
            <w:sz w:val="17"/>
          </w:rPr>
          <w:t>Scan.tsx</w:t>
        </w:r>
      </w:hyperlink>
      <w:r>
        <w:t xml:space="preserve">  ·  </w:t>
      </w:r>
      <w:hyperlink r:id="rId51">
        <w:r>
          <w:rPr>
            <w:color w:val="245B70"/>
            <w:sz w:val="17"/>
          </w:rPr>
          <w:t>DigitalQc.tsx</w:t>
        </w:r>
      </w:hyperlink>
      <w:r>
        <w:t xml:space="preserve">  ·  </w:t>
      </w:r>
      <w:hyperlink r:id="rId52">
        <w:r>
          <w:rPr>
            <w:color w:val="245B70"/>
            <w:sz w:val="17"/>
          </w:rPr>
          <w:t>archive.spec.ts</w:t>
        </w:r>
      </w:hyperlink>
      <w:r>
        <w:t xml:space="preserve">  ·  </w:t>
      </w:r>
      <w:hyperlink r:id="rId53">
        <w:r>
          <w:rPr>
            <w:color w:val="245B70"/>
            <w:sz w:val="17"/>
          </w:rPr>
          <w:t>scan.spec.ts</w:t>
        </w:r>
      </w:hyperlink>
      <w:r>
        <w:t xml:space="preserve">  ·  </w:t>
      </w:r>
      <w:hyperlink r:id="rId54">
        <w:r>
          <w:rPr>
            <w:color w:val="245B70"/>
            <w:sz w:val="17"/>
          </w:rPr>
          <w:t>digitalqc.spec.ts</w:t>
        </w:r>
      </w:hyperlink>
    </w:p>
    <w:p>
      <w:pPr>
        <w:pStyle w:val="Heading1"/>
        <w:pageBreakBefore/>
      </w:pPr>
      <w:r>
        <w:t>打开合成数字阅片器</w:t>
      </w:r>
    </w:p>
    <w:p>
      <w:r>
        <w:rPr>
          <w:b/>
        </w:rPr>
        <w:t>目的：</w:t>
      </w:r>
      <w:r>
        <w:t>确认精确扫描和已发布数字QC，再查看合成图像。入口：扫描任务 → 数字扫描QC → 合成阅片入口。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4844264"/>
            <wp:docPr id="4" name="Picture 4" descr="S04  合成阅片器局部  ·  T31实际浏览器  ·  真实合成PNG像素与mock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4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S04  合成阅片器局部  ·  T31实际浏览器  ·  真实合成PNG像素与mock API</w:t>
      </w:r>
    </w:p>
    <w:p>
      <w:r>
        <w:t>1  核对“选择精确扫描”、扫描ID、发布版本及原件标识。</w:t>
      </w:r>
    </w:p>
    <w:p>
      <w:r>
        <w:t>2  确认显示“真实合成PNG已加载”，再用“放大图像”“缩小图像”“适配窗口”浏览。</w:t>
      </w:r>
    </w:p>
    <w:p>
      <w:r>
        <w:t>3  画布获得焦点后可用方向键平移、加减号缩放、Home适配窗口；左下角导航图显示当前位置。</w:t>
      </w:r>
    </w:p>
    <w:p>
      <w:r>
        <w:rPr>
          <w:b/>
        </w:rPr>
        <w:t>成功状态：</w:t>
      </w:r>
      <w:r>
        <w:t>画布和导航图显示合成几何图，操作后视图变化且身份不变。注意：合成圆形方格不是病理WSI；未知校准仅支持像素，不据此进行临床测量。</w:t>
      </w:r>
    </w:p>
    <w:p>
      <w:pPr>
        <w:pStyle w:val="Caption"/>
      </w:pPr>
      <w:r>
        <w:t xml:space="preserve">核对来源  </w:t>
      </w:r>
      <w:hyperlink r:id="rId56">
        <w:r>
          <w:rPr>
            <w:color w:val="245B70"/>
            <w:sz w:val="17"/>
          </w:rPr>
          <w:t>TileViewer.tsx</w:t>
        </w:r>
      </w:hyperlink>
      <w:r>
        <w:t xml:space="preserve">  ·  </w:t>
      </w:r>
      <w:hyperlink r:id="rId57">
        <w:r>
          <w:rPr>
            <w:color w:val="245B70"/>
            <w:sz w:val="17"/>
          </w:rPr>
          <w:t>t31-viewer.md</w:t>
        </w:r>
      </w:hyperlink>
    </w:p>
    <w:p>
      <w:pPr>
        <w:pStyle w:val="Heading1"/>
        <w:pageBreakBefore/>
      </w:pPr>
      <w:r>
        <w:t>创建并保存ROI</w:t>
      </w:r>
    </w:p>
    <w:p>
      <w:r>
        <w:rPr>
          <w:b/>
        </w:rPr>
        <w:t>目的：</w:t>
      </w:r>
      <w:r>
        <w:t>用人工几何标注保存规范图像像素坐标。入口：合成阅片器 → “打开ROI编辑”。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3535144"/>
            <wp:docPr id="5" name="Picture 5" descr="S05a  ROI编辑与历史列表局部  ·  T33实际浏览器  ·  合成PNG及mock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control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S05a  ROI编辑与历史列表局部  ·  T33实际浏览器  ·  合成PNG及mock API</w:t>
      </w:r>
    </w:p>
    <w:p>
      <w:r>
        <w:t>1  点击“重新读取ROI及授权”，确认集合版本和当前图像。</w:t>
      </w:r>
    </w:p>
    <w:p>
      <w:r>
        <w:t>2  选择POINT、RECTANGLE或POLYGON，再点“新建ROI并点击画布”。点标注点击1次；矩形点击两个对角点；多边形至少3点、最多32点。</w:t>
      </w:r>
    </w:p>
    <w:p>
      <w:r>
        <w:t>3  输入“ROI人工原因”，检查顶点后点击“保存ROI修订”。错误点可用“撤销本地顶点操作”纠正。</w:t>
      </w:r>
    </w:p>
    <w:p>
      <w:r>
        <w:t>4  保存后重新核对集合版本、标注数及列表记录；不要把“未保存ROI”视为已完成。</w:t>
      </w:r>
    </w:p>
    <w:p>
      <w:r>
        <w:rPr>
          <w:b/>
        </w:rPr>
        <w:t>成功状态：</w:t>
      </w:r>
      <w:r>
        <w:t>集合版本更新，出现有效标注记录，页面显示无本地修改。截图示例为已保存的矩形、多边形和点，共3项。</w:t>
      </w:r>
    </w:p>
    <w:p>
      <w:r>
        <w:rPr>
          <w:b/>
        </w:rPr>
        <w:t>注意事项：</w:t>
      </w:r>
      <w:r>
        <w:t>形状坐标按原图像素保存。校准未知时仅显示px，不提供µm；合成校准不代表临床精度。软删除和历史读取受当前身份与权限约束。</w:t>
      </w:r>
    </w:p>
    <w:p>
      <w:pPr>
        <w:pStyle w:val="Caption"/>
      </w:pPr>
      <w:r>
        <w:t xml:space="preserve">核对来源  </w:t>
      </w:r>
      <w:hyperlink r:id="rId59">
        <w:r>
          <w:rPr>
            <w:color w:val="245B70"/>
            <w:sz w:val="17"/>
          </w:rPr>
          <w:t>RoiEditor.tsx</w:t>
        </w:r>
      </w:hyperlink>
      <w:r>
        <w:t xml:space="preserve">  ·  </w:t>
      </w:r>
      <w:hyperlink r:id="rId60">
        <w:r>
          <w:rPr>
            <w:color w:val="245B70"/>
            <w:sz w:val="17"/>
          </w:rPr>
          <w:t>roi.spec.ts</w:t>
        </w:r>
      </w:hyperlink>
      <w:r>
        <w:t xml:space="preserve">  ·  </w:t>
      </w:r>
      <w:hyperlink r:id="rId61">
        <w:r>
          <w:rPr>
            <w:color w:val="245B70"/>
            <w:sz w:val="17"/>
          </w:rPr>
          <w:t>t33-viewer-validation.md</w:t>
        </w:r>
      </w:hyperlink>
    </w:p>
    <w:p>
      <w:pPr>
        <w:pStyle w:val="Heading1"/>
        <w:pageBreakBefore/>
      </w:pPr>
      <w:r>
        <w:t>核对ROI显示与历史</w:t>
      </w:r>
    </w:p>
    <w:p>
      <w:r>
        <w:rPr>
          <w:b/>
        </w:rPr>
        <w:t>目的：</w:t>
      </w:r>
      <w:r>
        <w:t>确认保存后的ROI与当前图像一致。入口：同一精确扫描的ROI编辑区域。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3553914"/>
            <wp:docPr id="6" name="Picture 6" descr="S05b  同一截图的ROI画布局部  ·  矩形 多边形 点叠加在旋转后的合成图像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canva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3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S05b  同一截图的ROI画布局部  ·  矩形 多边形 点叠加在旋转后的合成图像上</w:t>
      </w:r>
    </w:p>
    <w:p>
      <w:r>
        <w:t>1  从ROI列表选择需要核对的标注，比较画布位置、形状和记录身份。</w:t>
      </w:r>
    </w:p>
    <w:p>
      <w:r>
        <w:t>2  可用“旋转90度”“水平翻转”“仅显示中心裁剪”检查显示；这些视图变化不等于新建扫描。</w:t>
      </w:r>
    </w:p>
    <w:p>
      <w:r>
        <w:t>3  需要追溯时点该记录的“历史 {ROI ID}”，或按精确ID“查询独立ROI历史”。</w:t>
      </w:r>
    </w:p>
    <w:p>
      <w:r>
        <w:t>4  取消本地编辑前确认是否放弃；若保存结果待确认，使用“原键重试ROI操作”。</w:t>
      </w:r>
    </w:p>
    <w:p>
      <w:r>
        <w:rPr>
          <w:b/>
        </w:rPr>
        <w:t>成功状态：</w:t>
      </w:r>
      <w:r>
        <w:t>标注与合成图形一起变换；历史记录可按授权读取，当前图像与编辑资格仍独立核验。</w:t>
      </w:r>
    </w:p>
    <w:p>
      <w:r>
        <w:rPr>
          <w:b/>
        </w:rPr>
        <w:t>注意事项：</w:t>
      </w:r>
      <w:r>
        <w:t>历史可见不恢复已撤销的阅片或编辑资格。QC撤销、扫描变化或权限失效时，应重新读取当前状态。</w:t>
      </w:r>
    </w:p>
    <w:p>
      <w:pPr>
        <w:pStyle w:val="Caption"/>
      </w:pPr>
      <w:r>
        <w:t xml:space="preserve">核对来源  </w:t>
      </w:r>
      <w:hyperlink r:id="rId59">
        <w:r>
          <w:rPr>
            <w:color w:val="245B70"/>
            <w:sz w:val="17"/>
          </w:rPr>
          <w:t>RoiEditor.tsx</w:t>
        </w:r>
      </w:hyperlink>
      <w:r>
        <w:t xml:space="preserve">  ·  </w:t>
      </w:r>
      <w:hyperlink r:id="rId63">
        <w:r>
          <w:rPr>
            <w:color w:val="245B70"/>
            <w:sz w:val="17"/>
          </w:rPr>
          <w:t>RoiHistory.tsx</w:t>
        </w:r>
      </w:hyperlink>
      <w:r>
        <w:t xml:space="preserve">  ·  </w:t>
      </w:r>
      <w:hyperlink r:id="rId64">
        <w:r>
          <w:rPr>
            <w:color w:val="245B70"/>
            <w:sz w:val="17"/>
          </w:rPr>
          <w:t>t32-roi.md</w:t>
        </w:r>
      </w:hyperlink>
    </w:p>
    <w:p>
      <w:pPr>
        <w:pStyle w:val="Heading1"/>
        <w:pageBreakBefore/>
      </w:pPr>
      <w:r>
        <w:t>使用双视图对照</w:t>
      </w:r>
    </w:p>
    <w:p>
      <w:r>
        <w:rPr>
          <w:b/>
        </w:rPr>
        <w:t>目的：</w:t>
      </w:r>
      <w:r>
        <w:t>对照两个视图；只在已验证的像素恒等关系下同步。入口：合成阅片器 → “打开第二视图”。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2352234"/>
            <wp:docPr id="7" name="Picture 7" descr="S06a  双视图控制区局部  ·  T33实际浏览器  ·  合成PNG及mock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ontrol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S06a  双视图控制区局部  ·  T33实际浏览器  ·  合成PNG及mock API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3239640"/>
            <wp:docPr id="8" name="Picture 8" descr="S06b  同一截图的双画布局部  ·  两侧同一扫描已显式开启像素恒等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anva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S06b  同一截图的双画布局部  ·  两侧同一扫描已显式开启像素恒等同步</w:t>
      </w:r>
    </w:p>
    <w:p>
      <w:r>
        <w:rPr>
          <w:b/>
        </w:rPr>
        <w:t>操作：</w:t>
      </w:r>
      <w:r>
        <w:t>为第二视图选择精确扫描，核对两侧扫描与发布版本；同步按钮可用时，明确点击“显式开启像素恒等同步”。结束时点“关闭第二视图”。</w:t>
      </w:r>
    </w:p>
    <w:p>
      <w:r>
        <w:rPr>
          <w:b/>
        </w:rPr>
        <w:t>成功与注意：</w:t>
      </w:r>
      <w:r>
        <w:t>同源同步时两侧缩放和导航相应变化。不同扫描或清单没有已验证映射时，同步不可用；不作自动配准，也不能据此认定组织对应。</w:t>
      </w:r>
    </w:p>
    <w:p>
      <w:pPr>
        <w:pStyle w:val="Caption"/>
      </w:pPr>
      <w:r>
        <w:t xml:space="preserve">核对来源  </w:t>
      </w:r>
      <w:hyperlink r:id="rId67">
        <w:r>
          <w:rPr>
            <w:color w:val="245B70"/>
            <w:sz w:val="17"/>
          </w:rPr>
          <w:t>viewer-validation.spec.ts</w:t>
        </w:r>
      </w:hyperlink>
      <w:r>
        <w:t xml:space="preserve">  ·  </w:t>
      </w:r>
      <w:hyperlink r:id="rId61">
        <w:r>
          <w:rPr>
            <w:color w:val="245B70"/>
            <w:sz w:val="17"/>
          </w:rPr>
          <w:t>t33-viewer-validation.md</w:t>
        </w:r>
      </w:hyperlink>
    </w:p>
    <w:p>
      <w:pPr>
        <w:pStyle w:val="Heading1"/>
        <w:pageBreakBefore/>
      </w:pPr>
      <w:r>
        <w:t>核对AI模型与适用契约</w:t>
      </w:r>
    </w:p>
    <w:p>
      <w:r>
        <w:rPr>
          <w:b/>
        </w:rPr>
        <w:t>目的：</w:t>
      </w:r>
      <w:r>
        <w:t>查看合成契约的精确版本及适用判定。入口：阅片页“核对此扫描AI适用契约”。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2396389"/>
            <wp:docPr id="9" name="Picture 9" descr="S07a  模型列表局部  ·  T34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y_top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S07a  模型列表局部  ·  T34实际浏览器  ·  HTTP mock合成数据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2509013"/>
            <wp:docPr id="10" name="Picture 10" descr="S07b  同一截图的模型操作区局部  ·  中部JSON已省略以便放大阅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y_bottom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S07b  同一截图的模型操作区局部  ·  中部JSON已省略以便放大阅读</w:t>
      </w:r>
    </w:p>
    <w:p>
      <w:r>
        <w:t>1  点击“选择模型 {ID}”，核对版本、状态与证据；MISSING代表缺失。</w:t>
      </w:r>
    </w:p>
    <w:p>
      <w:r>
        <w:t>2  点“核对当前扫描适用资料”；有相应权限时，登记合成资料版本和人工原因。</w:t>
      </w:r>
    </w:p>
    <w:p>
      <w:r>
        <w:t>3  点击“判定合成适用性（不执行）”。只有取得适用判定后，才从“进入合成契约任务（非临床）”继续。</w:t>
      </w:r>
    </w:p>
    <w:p>
      <w:r>
        <w:rPr>
          <w:b/>
        </w:rPr>
        <w:t>成功与注意：</w:t>
      </w:r>
      <w:r>
        <w:t>判定显示精确结果且仍“不允许推理执行”。模型注册仅记录元数据，既不安装模型也不执行推理；临床批准权限为无。普通使用者无需自行新建或更改契约。</w:t>
      </w:r>
    </w:p>
    <w:p>
      <w:pPr>
        <w:pStyle w:val="Caption"/>
      </w:pPr>
      <w:r>
        <w:t xml:space="preserve">核对来源  </w:t>
      </w:r>
      <w:hyperlink r:id="rId70">
        <w:r>
          <w:rPr>
            <w:color w:val="245B70"/>
            <w:sz w:val="17"/>
          </w:rPr>
          <w:t>AiRegistry.tsx</w:t>
        </w:r>
      </w:hyperlink>
      <w:r>
        <w:t xml:space="preserve">  ·  </w:t>
      </w:r>
      <w:hyperlink r:id="rId71">
        <w:r>
          <w:rPr>
            <w:color w:val="245B70"/>
            <w:sz w:val="17"/>
          </w:rPr>
          <w:t>t34-ai-registry.md</w:t>
        </w:r>
      </w:hyperlink>
    </w:p>
    <w:p>
      <w:pPr>
        <w:pStyle w:val="Heading1"/>
        <w:pageBreakBefore/>
      </w:pPr>
      <w:r>
        <w:t>处理合成契约任务</w:t>
      </w:r>
    </w:p>
    <w:p>
      <w:r>
        <w:rPr>
          <w:b/>
        </w:rPr>
        <w:t>目的：</w:t>
      </w:r>
      <w:r>
        <w:t>练习有界的非诊断技术任务。入口：当前扫描的合成适用判定 → 合成契约任务。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3009565"/>
            <wp:docPr id="11" name="Picture 11" descr="S08a  任务队列及核验状态局部  ·  T35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_top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S08a  任务队列及核验状态局部  ·  T35实际浏览器  ·  HTTP mock合成数据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544350"/>
            <wp:docPr id="12" name="Picture 12" descr="S08b  同一截图的操作栏局部  ·  每次命令均需当前身份 版本及原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_bottom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S08b  同一截图的操作栏局部  ·  每次命令均需当前身份 版本及原因</w:t>
      </w:r>
    </w:p>
    <w:p>
      <w:r>
        <w:t>1  确认申请、扫描和判定，填写“合成任务操作原因”，点击“创建合成契约任务”。</w:t>
      </w:r>
    </w:p>
    <w:p>
      <w:r>
        <w:t>2  点击“核验任务 {ID}”，再按演示流程“领取合成任务”“运行有界非诊断夹具”。</w:t>
      </w:r>
    </w:p>
    <w:p>
      <w:r>
        <w:t>3  成功后可“读取非诊断技术产物”或“生成非诊断合成视觉结果”；保留已确认结果ID供阅片核验。</w:t>
      </w:r>
    </w:p>
    <w:p>
      <w:r>
        <w:t>4  失败、取消或超时需先核验当前状态，再使用相应取消、重试或“核对超时或失效”动作。</w:t>
      </w:r>
    </w:p>
    <w:p>
      <w:r>
        <w:rPr>
          <w:b/>
        </w:rPr>
        <w:t>成功状态：</w:t>
      </w:r>
      <w:r>
        <w:t>当前有效状态为SYNTHETIC_SUCCEEDED，技术产物或结果ID经服务器确认。</w:t>
      </w:r>
    </w:p>
    <w:p>
      <w:r>
        <w:rPr>
          <w:b/>
        </w:rPr>
        <w:t>注意事项：</w:t>
      </w:r>
      <w:r>
        <w:t>截图的QUEUED及“实际进度 未知”不是成功、0%或阴性。停止等待不会取消服务器任务；不运行临床模型。</w:t>
      </w:r>
    </w:p>
    <w:p>
      <w:pPr>
        <w:pStyle w:val="Caption"/>
      </w:pPr>
      <w:r>
        <w:t xml:space="preserve">核对来源  </w:t>
      </w:r>
      <w:hyperlink r:id="rId74">
        <w:r>
          <w:rPr>
            <w:color w:val="245B70"/>
            <w:sz w:val="17"/>
          </w:rPr>
          <w:t>SyntheticTasks.tsx</w:t>
        </w:r>
      </w:hyperlink>
      <w:r>
        <w:t xml:space="preserve">  ·  </w:t>
      </w:r>
      <w:hyperlink r:id="rId75">
        <w:r>
          <w:rPr>
            <w:color w:val="245B70"/>
            <w:sz w:val="17"/>
          </w:rPr>
          <w:t>t35-synthetic-tasks.md</w:t>
        </w:r>
      </w:hyperlink>
    </w:p>
    <w:p>
      <w:pPr>
        <w:pStyle w:val="Heading1"/>
        <w:pageBreakBefore/>
      </w:pPr>
      <w:r>
        <w:t>加载与核对合成结果叠加</w:t>
      </w:r>
    </w:p>
    <w:p>
      <w:r>
        <w:rPr>
          <w:b/>
        </w:rPr>
        <w:t>目的：</w:t>
      </w:r>
      <w:r>
        <w:t>观察技术产物的强度图层，检查视图变换后是否一致。入口：当前扫描阅片器的“非诊断合成结果叠加”。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4617720" cy="2396247"/>
            <wp:docPr id="13" name="Picture 13" descr="S09  已核验的合成强度叠加画布  ·  T36实际浏览器  ·  合成视觉夹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S09  已核验的合成强度叠加画布  ·  T36实际浏览器  ·  合成视觉夹具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4617720" cy="2396247"/>
            <wp:docPr id="14" name="Picture 14" descr="S10  旋转 翻转及中心裁剪后的同类叠加画布  ·  T36实际浏览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transform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S10  旋转 翻转及中心裁剪后的同类叠加画布  ·  T36实际浏览器</w:t>
      </w:r>
    </w:p>
    <w:p>
      <w:r>
        <w:rPr>
          <w:b/>
        </w:rPr>
        <w:t>操作：</w:t>
      </w:r>
      <w:r>
        <w:t>输入“精确合成结果ID”，点“核验并加载合成叠加”。按需调“合成透明度”、正常混合或正片叠底；可隐藏、重新显示或取消叠加。</w:t>
      </w:r>
    </w:p>
    <w:p>
      <w:r>
        <w:rPr>
          <w:b/>
        </w:rPr>
        <w:t>成功状态：</w:t>
      </w:r>
      <w:r>
        <w:t>显示“合成强度叠加已核验 · 非诊断”，并出现图层；变换、设置变化或重新显示会先隐藏再核验。</w:t>
      </w:r>
    </w:p>
    <w:p>
      <w:r>
        <w:rPr>
          <w:b/>
        </w:rPr>
        <w:t>注意事项：</w:t>
      </w:r>
      <w:r>
        <w:t>强度0–255不是疾病风险，不自动写入报告。失效或读取失败会清空叠加；已交付像素最多按页面所述间隔重新核验，不承诺瞬时远程擦除。</w:t>
      </w:r>
    </w:p>
    <w:p>
      <w:pPr>
        <w:pStyle w:val="Caption"/>
      </w:pPr>
      <w:r>
        <w:t xml:space="preserve">核对来源  </w:t>
      </w:r>
      <w:hyperlink r:id="rId78">
        <w:r>
          <w:rPr>
            <w:color w:val="245B70"/>
            <w:sz w:val="17"/>
          </w:rPr>
          <w:t>ResultOverlay.tsx</w:t>
        </w:r>
      </w:hyperlink>
      <w:r>
        <w:t xml:space="preserve">  ·  </w:t>
      </w:r>
      <w:hyperlink r:id="rId79">
        <w:r>
          <w:rPr>
            <w:color w:val="245B70"/>
            <w:sz w:val="17"/>
          </w:rPr>
          <w:t>t36-synthetic-results.md</w:t>
        </w:r>
      </w:hyperlink>
    </w:p>
    <w:p>
      <w:pPr>
        <w:pStyle w:val="Heading1"/>
        <w:pageBreakBefore/>
      </w:pPr>
      <w:r>
        <w:t>人工处理合成结果引用</w:t>
      </w:r>
    </w:p>
    <w:p>
      <w:r>
        <w:rPr>
          <w:b/>
        </w:rPr>
        <w:t>目的：</w:t>
      </w:r>
      <w:r>
        <w:t>记录医生明确选择与理由，绑定精确结果和报告草稿。入口：报告草稿 → “医生人工处理合成结果”。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2815601"/>
            <wp:docPr id="15" name="Picture 15" descr="S11a  人工处理身份与来源核验局部  ·  T37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top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S11a  人工处理身份与来源核验局部  ·  T37实际浏览器  ·  HTTP mock合成数据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1820755"/>
            <wp:docPr id="16" name="Picture 16" descr="S11b  同一截图的动作 原因及确认区局部  ·  中部来源JSON省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bottom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S11b  同一截图的动作 原因及确认区局部  ·  中部来源JSON省略</w:t>
      </w:r>
    </w:p>
    <w:p>
      <w:r>
        <w:t>1  输入“人工处理结果ID”，点“核验人工处理依据”。</w:t>
      </w:r>
    </w:p>
    <w:p>
      <w:r>
        <w:t>2  核对病例、结果、目标草稿和来源快照；选择“采纳非诊断引用”“拒绝”或“暂缓”，填写原因。</w:t>
      </w:r>
    </w:p>
    <w:p>
      <w:r>
        <w:t>3  点“确认人工处理版本”，在确认框核对精确身份和动作后，点“明确提交人工处理”。</w:t>
      </w:r>
    </w:p>
    <w:p>
      <w:r>
        <w:rPr>
          <w:b/>
        </w:rPr>
        <w:t>成功状态：</w:t>
      </w:r>
      <w:r>
        <w:t>人工记录及版本确认。采纳仅新增内容不变的草稿修订及引用；拒绝或暂缓不修改草稿。</w:t>
      </w:r>
    </w:p>
    <w:p>
      <w:r>
        <w:rPr>
          <w:b/>
        </w:rPr>
        <w:t>注意事项：</w:t>
      </w:r>
      <w:r>
        <w:t>截图处于待确认表单，不是已采纳证据。操作不会自动诊断、签署或发送；当前资格、领取、QC和来源门禁仍须满足。</w:t>
      </w:r>
    </w:p>
    <w:p>
      <w:pPr>
        <w:pStyle w:val="Caption"/>
      </w:pPr>
      <w:r>
        <w:t xml:space="preserve">核对来源  </w:t>
      </w:r>
      <w:hyperlink r:id="rId38">
        <w:r>
          <w:rPr>
            <w:color w:val="245B70"/>
            <w:sz w:val="17"/>
          </w:rPr>
          <w:t>ReportEditor.tsx</w:t>
        </w:r>
      </w:hyperlink>
      <w:r>
        <w:t xml:space="preserve">  ·  </w:t>
      </w:r>
      <w:hyperlink r:id="rId82">
        <w:r>
          <w:rPr>
            <w:color w:val="245B70"/>
            <w:sz w:val="17"/>
          </w:rPr>
          <w:t>SyntheticDecision.tsx</w:t>
        </w:r>
      </w:hyperlink>
      <w:r>
        <w:t xml:space="preserve">  ·  </w:t>
      </w:r>
      <w:hyperlink r:id="rId83">
        <w:r>
          <w:rPr>
            <w:color w:val="245B70"/>
            <w:sz w:val="17"/>
          </w:rPr>
          <w:t>README.md</w:t>
        </w:r>
      </w:hyperlink>
    </w:p>
    <w:p>
      <w:pPr>
        <w:pStyle w:val="Heading1"/>
        <w:pageBreakBefore/>
      </w:pPr>
      <w:r>
        <w:t>复核已经失效的引用</w:t>
      </w:r>
    </w:p>
    <w:p>
      <w:r>
        <w:rPr>
          <w:b/>
        </w:rPr>
        <w:t>目的：</w:t>
      </w:r>
      <w:r>
        <w:t>记录对来源失效的知悉，保留原报告和追溯链。入口：人工处理历史 → “查看失效影响 {决定ID}”。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1970921"/>
            <wp:docPr id="17" name="Picture 17" descr="S12a  失效原因与原目标版本局部  ·  T38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top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S12a  失效原因与原目标版本局部  ·  T38实际浏览器  ·  HTTP mock合成数据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400800" cy="1113727"/>
            <wp:docPr id="18" name="Picture 18" descr="S12b  同一截图的人工复核区局部  ·  中部依赖JSON省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bottom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S12b  同一截图的人工复核区局部  ·  中部依赖JSON省略</w:t>
      </w:r>
    </w:p>
    <w:p>
      <w:r>
        <w:t>1  点“重新核验失效影响”，检查当前原因、决定ID、结果ID和复核版本。</w:t>
      </w:r>
    </w:p>
    <w:p>
      <w:r>
        <w:t>2  展开“精确失效依赖与原目标版本”；确认是否已有模拟签署，以及报告内容保持原样。</w:t>
      </w:r>
    </w:p>
    <w:p>
      <w:r>
        <w:t>3  选择“已知悉失效并保留历史”或“暂缓处理”，填写理由；点“确认影响快照”，再明确提交此快照复核。</w:t>
      </w:r>
    </w:p>
    <w:p>
      <w:r>
        <w:rPr>
          <w:b/>
        </w:rPr>
        <w:t>成功状态：</w:t>
      </w:r>
      <w:r>
        <w:t>追加式复核历史出现与当前影响快照对应的记录。新依赖变化后，旧复核不代表当前已复核。</w:t>
      </w:r>
    </w:p>
    <w:p>
      <w:r>
        <w:rPr>
          <w:b/>
        </w:rPr>
        <w:t>注意事项：</w:t>
      </w:r>
      <w:r>
        <w:t>知悉失效不会恢复结果可用性、重跑模型、改写报告或重新签署。历史可见也不能当作当前有效引用消费。</w:t>
      </w:r>
    </w:p>
    <w:p>
      <w:pPr>
        <w:pStyle w:val="Caption"/>
      </w:pPr>
      <w:r>
        <w:t xml:space="preserve">核对来源  </w:t>
      </w:r>
      <w:hyperlink r:id="rId86">
        <w:r>
          <w:rPr>
            <w:color w:val="245B70"/>
            <w:sz w:val="17"/>
          </w:rPr>
          <w:t>ImpactReview.tsx</w:t>
        </w:r>
      </w:hyperlink>
      <w:r>
        <w:t xml:space="preserve">  ·  </w:t>
      </w:r>
      <w:hyperlink r:id="rId87">
        <w:r>
          <w:rPr>
            <w:color w:val="245B70"/>
            <w:sz w:val="17"/>
          </w:rPr>
          <w:t>README.md</w:t>
        </w:r>
      </w:hyperlink>
    </w:p>
    <w:p>
      <w:pPr>
        <w:pStyle w:val="Heading1"/>
        <w:pageBreakBefore/>
      </w:pPr>
      <w:r>
        <w:t>核对本地合成接口消息</w:t>
      </w:r>
    </w:p>
    <w:p>
      <w:r>
        <w:rPr>
          <w:b/>
        </w:rPr>
        <w:t>目的：</w:t>
      </w:r>
      <w:r>
        <w:t>练习消息身份、状态、ACK与历史核对。入口：申请详情 → “处理此申请接口”。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5852160" cy="4891101"/>
            <wp:docPr id="19" name="Picture 19" descr="S03b  本地接口列表与人工操作区局部  ·  T42实际浏览器  ·  HTTP mock合成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S03b  本地接口列表与人工操作区局部  ·  T42实际浏览器  ·  HTTP mock合成数据</w:t>
      </w:r>
    </w:p>
    <w:p>
      <w:r>
        <w:rPr>
          <w:b/>
        </w:rPr>
        <w:t>操作：</w:t>
      </w:r>
      <w:r>
        <w:t>刷新接口队列，选择“处理消息 {ID}”；核对来源、病例、序号、版本和当前状态；选择接口操作，填写核对病例UUID和原因；点“核对本地接口操作”，检查弹窗后确认仅本地合成操作。</w:t>
      </w:r>
    </w:p>
    <w:p>
      <w:r>
        <w:rPr>
          <w:b/>
        </w:rPr>
        <w:t>成功状态：</w:t>
      </w:r>
      <w:r>
        <w:t>重新查询后状态及追加历史与本次操作对应。ACK仍须匹配接收证据并进行独立对账。</w:t>
      </w:r>
    </w:p>
    <w:p>
      <w:r>
        <w:rPr>
          <w:b/>
        </w:rPr>
        <w:t>注意事项：</w:t>
      </w:r>
      <w:r>
        <w:t>“已记录”不是送达、医院签收或支付；HIS、收费、设备均为本地自定义合成契约。HL7、FHIR、真实医院端点和真实设备未配置。</w:t>
      </w:r>
    </w:p>
    <w:p>
      <w:pPr>
        <w:pStyle w:val="Caption"/>
      </w:pPr>
      <w:r>
        <w:t xml:space="preserve">核对来源  </w:t>
      </w:r>
      <w:hyperlink r:id="rId89">
        <w:r>
          <w:rPr>
            <w:color w:val="245B70"/>
            <w:sz w:val="17"/>
          </w:rPr>
          <w:t>Adapters.tsx</w:t>
        </w:r>
      </w:hyperlink>
      <w:r>
        <w:t xml:space="preserve">  ·  </w:t>
      </w:r>
      <w:hyperlink r:id="rId90">
        <w:r>
          <w:rPr>
            <w:color w:val="245B70"/>
            <w:sz w:val="17"/>
          </w:rPr>
          <w:t>local-hospital-adapter.md</w:t>
        </w:r>
      </w:hyperlink>
    </w:p>
    <w:p>
      <w:pPr>
        <w:pStyle w:val="Heading1"/>
        <w:pageBreakBefore/>
      </w:pPr>
      <w:r>
        <w:t>查看受限运维快照</w:t>
      </w:r>
    </w:p>
    <w:p>
      <w:r>
        <w:rPr>
          <w:b/>
        </w:rPr>
        <w:t>目的：</w:t>
      </w:r>
      <w:r>
        <w:t>只读查看当前病例范围的队列、容量状态及审计摘要。入口：申请详情 → “查看此申请运维”。</w:t>
      </w:r>
    </w:p>
    <w:p>
      <w:pPr>
        <w:keepNext/>
        <w:spacing w:after="60"/>
        <w:jc w:val="center"/>
      </w:pPr>
      <w:r/>
      <w:r>
        <w:drawing>
          <wp:inline xmlns:a="http://schemas.openxmlformats.org/drawingml/2006/main" xmlns:pic="http://schemas.openxmlformats.org/drawingml/2006/picture">
            <wp:extent cx="6309360" cy="3277506"/>
            <wp:docPr id="20" name="Picture 20" descr="S13  运维状态局部  ·  T42实际浏览器  ·  mock数据  ·  不是当前实例容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S13  运维状态局部  ·  T42实际浏览器  ·  mock数据  ·  不是当前实例容量</w:t>
      </w:r>
    </w:p>
    <w:p>
      <w:r>
        <w:t>1  核对快照时间，必要时点“刷新运维快照”。</w:t>
      </w:r>
    </w:p>
    <w:p>
      <w:r>
        <w:t>2  检查待处理本地接口、失败或死信、就绪对象以及私有根容量状态。</w:t>
      </w:r>
    </w:p>
    <w:p>
      <w:r>
        <w:t>3  若提示失败或死信，回到原接口流程人工核对；不要在此页假定已修复。</w:t>
      </w:r>
    </w:p>
    <w:p>
      <w:r>
        <w:t>4  需要恢复或备份证明时，由管理员提供对应环境的实际验证记录。</w:t>
      </w:r>
    </w:p>
    <w:p>
      <w:r>
        <w:rPr>
          <w:b/>
        </w:rPr>
        <w:t>成功状态：</w:t>
      </w:r>
      <w:r>
        <w:t>快照按当前授权范围加载，并明确给出已知与未知项。此页为只读快照，不执行当前实例备份或恢复。</w:t>
      </w:r>
    </w:p>
    <w:p>
      <w:r>
        <w:rPr>
          <w:b/>
        </w:rPr>
        <w:t>注意事项：</w:t>
      </w:r>
      <w:r>
        <w:t>NOT_CONFIGURED为未配置，NOT_VERIFIED为未验证，“未知／不可用”不等于0或正常。截图中的数量只属于合成夹具，不可用于容量判断。</w:t>
      </w:r>
    </w:p>
    <w:p>
      <w:pPr>
        <w:pStyle w:val="Caption"/>
      </w:pPr>
      <w:r>
        <w:t xml:space="preserve">核对来源  </w:t>
      </w:r>
      <w:hyperlink r:id="rId92">
        <w:r>
          <w:rPr>
            <w:color w:val="245B70"/>
            <w:sz w:val="17"/>
          </w:rPr>
          <w:t>Operations.tsx</w:t>
        </w:r>
      </w:hyperlink>
      <w:r>
        <w:t xml:space="preserve">  ·  </w:t>
      </w:r>
      <w:hyperlink r:id="rId16">
        <w:r>
          <w:rPr>
            <w:color w:val="245B70"/>
            <w:sz w:val="17"/>
          </w:rPr>
          <w:t>README.md</w:t>
        </w:r>
      </w:hyperlink>
    </w:p>
    <w:p>
      <w:pPr>
        <w:pStyle w:val="Heading1"/>
        <w:pageBreakBefore/>
      </w:pPr>
      <w:r>
        <w:t>常见问题与交接检查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应该怎么做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工作范围为空或模块无权限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确认本人业务资格及授权范围；登录成功、管理员身份均不自动赋予业务权限。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侧栏打开后提示从详情进入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回到申请查询，查看目标申请，再点详情中的对应处理入口。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本地输入尚未保存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留在当前表单完成保存；若决定放弃，阅读并明确确认弹窗。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结果待确认或网络超时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优先使用原请求／原键确认。不要新建第二条相同业务，也不要把停止等待当作撤销。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版本冲突或依赖变化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重新读取当前身份、版本、QC和资格；据新状态决定下一步，不覆盖旧结果。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图像或叠加被清空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核对当前扫描、QC、来源和授权；失效时停止使用旧图。未知结果不等于阴性。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标签 身份或材料不匹配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停止对应操作，复核申请、容器、盒、块、片和扫描链；不得手工混用ID。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报告不能模拟签署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检查当前草稿、领取、复核、资格和QC依赖；模拟签署不等于具有法律效力的临床签名。</w:t>
            </w:r>
          </w:p>
        </w:tc>
      </w:tr>
    </w:tbl>
    <w:p>
      <w:r/>
    </w:p>
    <w:p>
      <w:pPr>
        <w:pStyle w:val="Heading2"/>
      </w:pPr>
      <w:r>
        <w:t>完成一项操作前后都核对</w:t>
      </w:r>
    </w:p>
    <w:p>
      <w:r>
        <w:t>• 身份：工作范围、申请或病例、对象ID、当前版本。</w:t>
      </w:r>
    </w:p>
    <w:p>
      <w:r>
        <w:t>• 状态：前置条件满足，服务器已明确确认，没有未保存或待确认提示。</w:t>
      </w:r>
    </w:p>
    <w:p>
      <w:r>
        <w:t>• 记录：刷新后仍能查到正确历史；物理接收、交接、打印、归还不能仅由软件记录代替。</w:t>
      </w:r>
    </w:p>
    <w:p>
      <w:r>
        <w:t>• 交接：向下一岗位说明已完成状态、尚未解决的异常和精确对象，不传播账号或密码。</w:t>
      </w:r>
    </w:p>
    <w:p>
      <w:r>
        <w:t>向管理员报告问题时，提供页面名称、发生时间、脱敏对象标识、错误码和已尝试动作。不要发送患者信息、密码、访问令牌或数据库配置。</w:t>
      </w:r>
    </w:p>
    <w:p>
      <w:pPr>
        <w:pStyle w:val="Heading1"/>
        <w:pageBreakBefore/>
      </w:pPr>
      <w:r>
        <w:t>截图来源索引</w:t>
      </w:r>
    </w:p>
    <w:p>
      <w:r>
        <w:t>全部原图均随精确提交 9106b7f75cb1355c1df3d53407051622c18e5e72 保存。以下链接固定到该提交，不随main后续变化漂移。类型A为实际dist构建加mock身份／故障接口；类型B为实际浏览器UI加HTTP mock或合成夹具。均不是本次重新访问产生。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1944"/>
        <w:gridCol w:w="3312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阶段与类型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9EF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原始像素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登录页</w:t>
            </w:r>
            <w:r>
              <w:t xml:space="preserve">  </w:t>
            </w:r>
            <w:hyperlink r:id="rId93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6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T42 / 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720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连接失败</w:t>
            </w:r>
            <w:r>
              <w:t xml:space="preserve">  </w:t>
            </w:r>
            <w:hyperlink r:id="rId94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6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T42 / 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720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工作区及接口</w:t>
            </w:r>
            <w:r>
              <w:t xml:space="preserve">  </w:t>
            </w:r>
            <w:hyperlink r:id="rId95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6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T42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1810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合成阅片</w:t>
            </w:r>
            <w:r>
              <w:t xml:space="preserve">  </w:t>
            </w:r>
            <w:hyperlink r:id="rId96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57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T31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1594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ROI编辑和画布</w:t>
            </w:r>
            <w:r>
              <w:t xml:space="preserve">  </w:t>
            </w:r>
            <w:hyperlink r:id="rId97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61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T33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1778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S06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双视图</w:t>
            </w:r>
            <w:r>
              <w:t xml:space="preserve">  </w:t>
            </w:r>
            <w:hyperlink r:id="rId98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61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T33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1594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S07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AI契约</w:t>
            </w:r>
            <w:r>
              <w:t xml:space="preserve">  </w:t>
            </w:r>
            <w:hyperlink r:id="rId99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71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T34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1648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S08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合成任务队列</w:t>
            </w:r>
            <w:r>
              <w:t xml:space="preserve">  </w:t>
            </w:r>
            <w:hyperlink r:id="rId100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75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T35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1702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S09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合成结果叠加</w:t>
            </w:r>
            <w:r>
              <w:t xml:space="preserve">  </w:t>
            </w:r>
            <w:hyperlink r:id="rId101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02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T36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1004 × 521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叠加变换和裁剪</w:t>
            </w:r>
            <w:r>
              <w:t xml:space="preserve">  </w:t>
            </w:r>
            <w:hyperlink r:id="rId103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02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T36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1004 × 521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S11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人工引用</w:t>
            </w:r>
            <w:r>
              <w:t xml:space="preserve">  </w:t>
            </w:r>
            <w:hyperlink r:id="rId104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83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T37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2149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S12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引用失效复核</w:t>
            </w:r>
            <w:r>
              <w:t xml:space="preserve">  </w:t>
            </w:r>
            <w:hyperlink r:id="rId105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87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T38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2154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受限运维</w:t>
            </w:r>
            <w:r>
              <w:t xml:space="preserve">  </w:t>
            </w:r>
            <w:hyperlink r:id="rId106">
              <w:r>
                <w:rPr>
                  <w:color w:val="245B70"/>
                  <w:sz w:val="17"/>
                </w:rPr>
                <w:t>原图</w:t>
              </w:r>
            </w:hyperlink>
            <w:r>
              <w:t xml:space="preserve">  </w:t>
            </w:r>
            <w:hyperlink r:id="rId16">
              <w:r>
                <w:rPr>
                  <w:color w:val="245B70"/>
                  <w:sz w:val="17"/>
                </w:rPr>
                <w:t>来源</w:t>
              </w:r>
            </w:hyperlink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T42 / B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1280 × 1810</w:t>
            </w:r>
          </w:p>
        </w:tc>
      </w:tr>
    </w:tbl>
    <w:p>
      <w:r/>
    </w:p>
    <w:p>
      <w:pPr>
        <w:pStyle w:val="Caption"/>
      </w:pPr>
      <w:r>
        <w:t>原图中合成ID、固定日期、样例状态仅用于演示，不代表用户当前环境的数据。早期截图菜单少于T42时，以文字步骤及当前实际菜单为准。</w:t>
      </w:r>
    </w:p>
    <w:p>
      <w:pPr>
        <w:pStyle w:val="Heading1"/>
        <w:pageBreakBefore/>
      </w:pPr>
      <w:r>
        <w:t>功能边界与进一步阅读</w:t>
      </w:r>
    </w:p>
    <w:p>
      <w:pPr>
        <w:pStyle w:val="Heading2"/>
      </w:pPr>
      <w:r>
        <w:t>本版本不能据以办理的事项</w:t>
      </w:r>
    </w:p>
    <w:p>
      <w:r>
        <w:t>• 真实病理WSI及厂商格式、真实扫描仪输入、临床坐标精度和显示器色彩校准尚未完成相应验收。</w:t>
      </w:r>
    </w:p>
    <w:p>
      <w:r>
        <w:t>• 无临床模型权重与推理能力；executionAllowed=false。合成强度、契约及人工引用不能作为诊断结果。</w:t>
      </w:r>
    </w:p>
    <w:p>
      <w:r>
        <w:t>• 真实HIS、EMR、收费、设备与CA签署未接入；本地记录和模拟签署不具备真实链路或法律效力证明。</w:t>
      </w:r>
    </w:p>
    <w:p>
      <w:r>
        <w:t>• 未提供公开访问URL，TLS域名、生产身份与合规安全、真实容量、异地备份及生产恢复需另行验证。</w:t>
      </w:r>
    </w:p>
    <w:p>
      <w:pPr>
        <w:pStyle w:val="Heading2"/>
      </w:pPr>
      <w:r>
        <w:t>未覆盖的独立页面</w:t>
      </w:r>
    </w:p>
    <w:p>
      <w:r>
        <w:t>UI-029 不符合项整改、UI-030 试剂设备维护没有独立实现；UI-033 完整账号授权管理、UI-034 全面字典管理仅有底层或部分契约。侧栏或原型映射不能当作完整实现证明。</w:t>
      </w:r>
    </w:p>
    <w:p>
      <w:r>
        <w:t>本手册没有登记、接收、取材、技术、材料QC、报告签署输出、归档、原件导入、扫描QC的独立页面截图；第6至10页依据实际代码与现有测试脚本说明操作，不用原型图替代。人工引用截图属于“报告草稿”中的专用处理区域，也不替代完整报告编辑器截图。</w:t>
      </w:r>
    </w:p>
    <w:p>
      <w:pPr>
        <w:pStyle w:val="Heading2"/>
      </w:pPr>
      <w:r>
        <w:t>官方仓库内的参考材料</w:t>
      </w:r>
    </w:p>
    <w:p>
      <w:r/>
      <w:hyperlink r:id="rId10">
        <w:r>
          <w:rPr>
            <w:color w:val="245B70"/>
            <w:sz w:val="21"/>
          </w:rPr>
          <w:t>中文运行与合成开发演示指南</w:t>
        </w:r>
      </w:hyperlink>
    </w:p>
    <w:p>
      <w:r/>
      <w:hyperlink r:id="rId11">
        <w:r>
          <w:rPr>
            <w:color w:val="245B70"/>
            <w:sz w:val="21"/>
          </w:rPr>
          <w:t>开发验收范围及上线阻断项</w:t>
        </w:r>
      </w:hyperlink>
    </w:p>
    <w:p>
      <w:r/>
      <w:hyperlink r:id="rId12">
        <w:r>
          <w:rPr>
            <w:color w:val="245B70"/>
            <w:sz w:val="21"/>
          </w:rPr>
          <w:t>T01至T42要求 实现 测试与限制矩阵</w:t>
        </w:r>
      </w:hyperlink>
    </w:p>
    <w:p>
      <w:r/>
      <w:hyperlink r:id="rId107">
        <w:r>
          <w:rPr>
            <w:color w:val="245B70"/>
            <w:sz w:val="21"/>
          </w:rPr>
          <w:t>47页原型与实现映射</w:t>
        </w:r>
      </w:hyperlink>
    </w:p>
    <w:p>
      <w:r/>
      <w:hyperlink r:id="rId108">
        <w:r>
          <w:rPr>
            <w:color w:val="245B70"/>
            <w:sz w:val="21"/>
          </w:rPr>
          <w:t>会话 角色及对象作用域说明</w:t>
        </w:r>
      </w:hyperlink>
    </w:p>
    <w:p>
      <w:r>
        <w:t>需要自由操作环境时，请由管理员依据运行指南准备专用测试环境并分配账号。不要把测试入口、固定合成种子或本地环回地址当作可长期使用的生产访问方式。</w:t>
      </w:r>
    </w:p>
    <w:p>
      <w:pPr>
        <w:pStyle w:val="Heading2"/>
      </w:pPr>
      <w:r>
        <w:t>版本维护</w:t>
      </w:r>
    </w:p>
    <w:p>
      <w:r>
        <w:t>升级后应重新核对按钮、角色范围、状态条件和截图版本。需要临床上线时，应完成医院业务确认、安全部署、集成、真实样本与设备验证及相应审批；本手册不构成临床验收或上线许可。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PIS 用户操作手册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81" w:lineRule="auto"/>
    </w:pPr>
    <w:rPr>
      <w:rFonts w:ascii="Noto Sans CJK SC" w:hAnsi="Noto Sans CJK SC" w:eastAsia="Noto Sans CJK SC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8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8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 w:line="281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1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Noto Sans CJK SC" w:hAnsi="Noto Sans CJK SC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rchibaldzhou/PIS/blob/9106b7f75cb1355c1df3d53407051622c18e5e72/docs/runbooks/t42-synthetic-demo.md" TargetMode="External"/><Relationship Id="rId11" Type="http://schemas.openxmlformats.org/officeDocument/2006/relationships/hyperlink" Target="https://github.com/archibaldzhou/PIS/blob/9106b7f75cb1355c1df3d53407051622c18e5e72/docs/acceptance/report.md" TargetMode="External"/><Relationship Id="rId12" Type="http://schemas.openxmlformats.org/officeDocument/2006/relationships/hyperlink" Target="https://github.com/archibaldzhou/PIS/blob/9106b7f75cb1355c1df3d53407051622c18e5e72/docs/acceptance/matrix.md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archibaldzhou/PIS/blob/9106b7f75cb1355c1df3d53407051622c18e5e72/frontend/src/App.tsx" TargetMode="External"/><Relationship Id="rId15" Type="http://schemas.openxmlformats.org/officeDocument/2006/relationships/hyperlink" Target="https://github.com/archibaldzhou/PIS/blob/9106b7f75cb1355c1df3d53407051622c18e5e72/frontend/src/WorkflowWorkspace.tsx" TargetMode="External"/><Relationship Id="rId16" Type="http://schemas.openxmlformats.org/officeDocument/2006/relationships/hyperlink" Target="https://github.com/archibaldzhou/PIS/blob/9106b7f75cb1355c1df3d53407051622c18e5e72/docs/evidence/t42/README.md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hyperlink" Target="https://github.com/archibaldzhou/PIS/blob/9106b7f75cb1355c1df3d53407051622c18e5e72/frontend/src/features/accession/Registration.tsx" TargetMode="External"/><Relationship Id="rId20" Type="http://schemas.openxmlformats.org/officeDocument/2006/relationships/hyperlink" Target="https://github.com/archibaldzhou/PIS/blob/9106b7f75cb1355c1df3d53407051622c18e5e72/frontend/src/features/accession/RequestList.tsx" TargetMode="External"/><Relationship Id="rId21" Type="http://schemas.openxmlformats.org/officeDocument/2006/relationships/hyperlink" Target="https://github.com/archibaldzhou/PIS/blob/9106b7f75cb1355c1df3d53407051622c18e5e72/frontend/src/features/specimen/Reception.tsx" TargetMode="External"/><Relationship Id="rId22" Type="http://schemas.openxmlformats.org/officeDocument/2006/relationships/hyperlink" Target="https://github.com/archibaldzhou/PIS/blob/9106b7f75cb1355c1df3d53407051622c18e5e72/frontend/e2e/accession.spec.ts" TargetMode="External"/><Relationship Id="rId23" Type="http://schemas.openxmlformats.org/officeDocument/2006/relationships/hyperlink" Target="https://github.com/archibaldzhou/PIS/blob/9106b7f75cb1355c1df3d53407051622c18e5e72/frontend/e2e/reception.spec.ts" TargetMode="External"/><Relationship Id="rId24" Type="http://schemas.openxmlformats.org/officeDocument/2006/relationships/hyperlink" Target="https://github.com/archibaldzhou/PIS/blob/9106b7f75cb1355c1df3d53407051622c18e5e72/frontend/src/features/labels/Labels.tsx" TargetMode="External"/><Relationship Id="rId25" Type="http://schemas.openxmlformats.org/officeDocument/2006/relationships/hyperlink" Target="https://github.com/archibaldzhou/PIS/blob/9106b7f75cb1355c1df3d53407051622c18e5e72/frontend/src/features/grossing/Grossing.tsx" TargetMode="External"/><Relationship Id="rId26" Type="http://schemas.openxmlformats.org/officeDocument/2006/relationships/hyperlink" Target="https://github.com/archibaldzhou/PIS/blob/9106b7f75cb1355c1df3d53407051622c18e5e72/frontend/src/features/processing/Technical.tsx" TargetMode="External"/><Relationship Id="rId27" Type="http://schemas.openxmlformats.org/officeDocument/2006/relationships/hyperlink" Target="https://github.com/archibaldzhou/PIS/blob/9106b7f75cb1355c1df3d53407051622c18e5e72/frontend/src/features/processing/api.ts" TargetMode="External"/><Relationship Id="rId28" Type="http://schemas.openxmlformats.org/officeDocument/2006/relationships/hyperlink" Target="https://github.com/archibaldzhou/PIS/blob/9106b7f75cb1355c1df3d53407051622c18e5e72/frontend/e2e/labels.spec.ts" TargetMode="External"/><Relationship Id="rId29" Type="http://schemas.openxmlformats.org/officeDocument/2006/relationships/hyperlink" Target="https://github.com/archibaldzhou/PIS/blob/9106b7f75cb1355c1df3d53407051622c18e5e72/frontend/e2e/grossing.spec.ts" TargetMode="External"/><Relationship Id="rId30" Type="http://schemas.openxmlformats.org/officeDocument/2006/relationships/hyperlink" Target="https://github.com/archibaldzhou/PIS/blob/9106b7f75cb1355c1df3d53407051622c18e5e72/frontend/e2e/technical.spec.ts" TargetMode="External"/><Relationship Id="rId31" Type="http://schemas.openxmlformats.org/officeDocument/2006/relationships/hyperlink" Target="https://github.com/archibaldzhou/PIS/blob/9106b7f75cb1355c1df3d53407051622c18e5e72/frontend/src/features/materials/Materials.tsx" TargetMode="External"/><Relationship Id="rId32" Type="http://schemas.openxmlformats.org/officeDocument/2006/relationships/hyperlink" Target="https://github.com/archibaldzhou/PIS/blob/9106b7f75cb1355c1df3d53407051622c18e5e72/frontend/src/features/materials/api.ts" TargetMode="External"/><Relationship Id="rId33" Type="http://schemas.openxmlformats.org/officeDocument/2006/relationships/hyperlink" Target="https://github.com/archibaldzhou/PIS/blob/9106b7f75cb1355c1df3d53407051622c18e5e72/frontend/src/features/quality/Quality.tsx" TargetMode="External"/><Relationship Id="rId34" Type="http://schemas.openxmlformats.org/officeDocument/2006/relationships/hyperlink" Target="https://github.com/archibaldzhou/PIS/blob/9106b7f75cb1355c1df3d53407051622c18e5e72/frontend/src/features/diagnosis/Diagnosis.tsx" TargetMode="External"/><Relationship Id="rId35" Type="http://schemas.openxmlformats.org/officeDocument/2006/relationships/hyperlink" Target="https://github.com/archibaldzhou/PIS/blob/9106b7f75cb1355c1df3d53407051622c18e5e72/frontend/e2e/materials.spec.ts" TargetMode="External"/><Relationship Id="rId36" Type="http://schemas.openxmlformats.org/officeDocument/2006/relationships/hyperlink" Target="https://github.com/archibaldzhou/PIS/blob/9106b7f75cb1355c1df3d53407051622c18e5e72/frontend/e2e/quality.spec.ts" TargetMode="External"/><Relationship Id="rId37" Type="http://schemas.openxmlformats.org/officeDocument/2006/relationships/hyperlink" Target="https://github.com/archibaldzhou/PIS/blob/9106b7f75cb1355c1df3d53407051622c18e5e72/frontend/e2e/diagnosis.spec.ts" TargetMode="External"/><Relationship Id="rId38" Type="http://schemas.openxmlformats.org/officeDocument/2006/relationships/hyperlink" Target="https://github.com/archibaldzhou/PIS/blob/9106b7f75cb1355c1df3d53407051622c18e5e72/frontend/src/features/report/ReportEditor.tsx" TargetMode="External"/><Relationship Id="rId39" Type="http://schemas.openxmlformats.org/officeDocument/2006/relationships/hyperlink" Target="https://github.com/archibaldzhou/PIS/blob/9106b7f75cb1355c1df3d53407051622c18e5e72/frontend/src/features/report/ReviewEditor.tsx" TargetMode="External"/><Relationship Id="rId40" Type="http://schemas.openxmlformats.org/officeDocument/2006/relationships/hyperlink" Target="https://github.com/archibaldzhou/PIS/blob/9106b7f75cb1355c1df3d53407051622c18e5e72/frontend/src/features/report/OutputEditor.tsx" TargetMode="External"/><Relationship Id="rId41" Type="http://schemas.openxmlformats.org/officeDocument/2006/relationships/hyperlink" Target="https://github.com/archibaldzhou/PIS/blob/9106b7f75cb1355c1df3d53407051622c18e5e72/frontend/src/features/report/outputApi.ts" TargetMode="External"/><Relationship Id="rId42" Type="http://schemas.openxmlformats.org/officeDocument/2006/relationships/hyperlink" Target="https://github.com/archibaldzhou/PIS/blob/9106b7f75cb1355c1df3d53407051622c18e5e72/frontend/src/features/report/AmendmentEditor.tsx" TargetMode="External"/><Relationship Id="rId43" Type="http://schemas.openxmlformats.org/officeDocument/2006/relationships/hyperlink" Target="https://github.com/archibaldzhou/PIS/blob/9106b7f75cb1355c1df3d53407051622c18e5e72/frontend/e2e/report.spec.ts" TargetMode="External"/><Relationship Id="rId44" Type="http://schemas.openxmlformats.org/officeDocument/2006/relationships/hyperlink" Target="https://github.com/archibaldzhou/PIS/blob/9106b7f75cb1355c1df3d53407051622c18e5e72/frontend/e2e/review.spec.ts" TargetMode="External"/><Relationship Id="rId45" Type="http://schemas.openxmlformats.org/officeDocument/2006/relationships/hyperlink" Target="https://github.com/archibaldzhou/PIS/blob/9106b7f75cb1355c1df3d53407051622c18e5e72/frontend/e2e/output.spec.ts" TargetMode="External"/><Relationship Id="rId46" Type="http://schemas.openxmlformats.org/officeDocument/2006/relationships/hyperlink" Target="https://github.com/archibaldzhou/PIS/blob/9106b7f75cb1355c1df3d53407051622c18e5e72/frontend/e2e/amendment.spec.ts" TargetMode="External"/><Relationship Id="rId47" Type="http://schemas.openxmlformats.org/officeDocument/2006/relationships/hyperlink" Target="https://github.com/archibaldzhou/PIS/blob/9106b7f75cb1355c1df3d53407051622c18e5e72/frontend/src/features/archive/Archive.tsx" TargetMode="External"/><Relationship Id="rId48" Type="http://schemas.openxmlformats.org/officeDocument/2006/relationships/hyperlink" Target="https://github.com/archibaldzhou/PIS/blob/9106b7f75cb1355c1df3d53407051622c18e5e72/frontend/src/features/archive/api.ts" TargetMode="External"/><Relationship Id="rId49" Type="http://schemas.openxmlformats.org/officeDocument/2006/relationships/hyperlink" Target="https://github.com/archibaldzhou/PIS/blob/9106b7f75cb1355c1df3d53407051622c18e5e72/frontend/src/features/storage/Storage.tsx" TargetMode="External"/><Relationship Id="rId50" Type="http://schemas.openxmlformats.org/officeDocument/2006/relationships/hyperlink" Target="https://github.com/archibaldzhou/PIS/blob/9106b7f75cb1355c1df3d53407051622c18e5e72/frontend/src/features/scan/Scan.tsx" TargetMode="External"/><Relationship Id="rId51" Type="http://schemas.openxmlformats.org/officeDocument/2006/relationships/hyperlink" Target="https://github.com/archibaldzhou/PIS/blob/9106b7f75cb1355c1df3d53407051622c18e5e72/frontend/src/features/digitalqc/DigitalQc.tsx" TargetMode="External"/><Relationship Id="rId52" Type="http://schemas.openxmlformats.org/officeDocument/2006/relationships/hyperlink" Target="https://github.com/archibaldzhou/PIS/blob/9106b7f75cb1355c1df3d53407051622c18e5e72/frontend/e2e/archive.spec.ts" TargetMode="External"/><Relationship Id="rId53" Type="http://schemas.openxmlformats.org/officeDocument/2006/relationships/hyperlink" Target="https://github.com/archibaldzhou/PIS/blob/9106b7f75cb1355c1df3d53407051622c18e5e72/frontend/e2e/scan.spec.ts" TargetMode="External"/><Relationship Id="rId54" Type="http://schemas.openxmlformats.org/officeDocument/2006/relationships/hyperlink" Target="https://github.com/archibaldzhou/PIS/blob/9106b7f75cb1355c1df3d53407051622c18e5e72/frontend/e2e/digitalqc.spec.ts" TargetMode="External"/><Relationship Id="rId55" Type="http://schemas.openxmlformats.org/officeDocument/2006/relationships/image" Target="media/image4.png"/><Relationship Id="rId56" Type="http://schemas.openxmlformats.org/officeDocument/2006/relationships/hyperlink" Target="https://github.com/archibaldzhou/PIS/blob/9106b7f75cb1355c1df3d53407051622c18e5e72/frontend/src/features/viewer/TileViewer.tsx" TargetMode="External"/><Relationship Id="rId57" Type="http://schemas.openxmlformats.org/officeDocument/2006/relationships/hyperlink" Target="https://github.com/archibaldzhou/PIS/blob/9106b7f75cb1355c1df3d53407051622c18e5e72/docs/api/t31-viewer.md" TargetMode="External"/><Relationship Id="rId58" Type="http://schemas.openxmlformats.org/officeDocument/2006/relationships/image" Target="media/image5.png"/><Relationship Id="rId59" Type="http://schemas.openxmlformats.org/officeDocument/2006/relationships/hyperlink" Target="https://github.com/archibaldzhou/PIS/blob/9106b7f75cb1355c1df3d53407051622c18e5e72/frontend/src/features/viewer/RoiEditor.tsx" TargetMode="External"/><Relationship Id="rId60" Type="http://schemas.openxmlformats.org/officeDocument/2006/relationships/hyperlink" Target="https://github.com/archibaldzhou/PIS/blob/9106b7f75cb1355c1df3d53407051622c18e5e72/frontend/ui-tests/roi.spec.ts" TargetMode="External"/><Relationship Id="rId61" Type="http://schemas.openxmlformats.org/officeDocument/2006/relationships/hyperlink" Target="https://github.com/archibaldzhou/PIS/blob/9106b7f75cb1355c1df3d53407051622c18e5e72/docs/api/t33-viewer-validation.md" TargetMode="External"/><Relationship Id="rId62" Type="http://schemas.openxmlformats.org/officeDocument/2006/relationships/image" Target="media/image6.png"/><Relationship Id="rId63" Type="http://schemas.openxmlformats.org/officeDocument/2006/relationships/hyperlink" Target="https://github.com/archibaldzhou/PIS/blob/9106b7f75cb1355c1df3d53407051622c18e5e72/frontend/src/features/viewer/RoiHistory.tsx" TargetMode="External"/><Relationship Id="rId64" Type="http://schemas.openxmlformats.org/officeDocument/2006/relationships/hyperlink" Target="https://github.com/archibaldzhou/PIS/blob/9106b7f75cb1355c1df3d53407051622c18e5e72/docs/api/t32-roi.md" TargetMode="External"/><Relationship Id="rId65" Type="http://schemas.openxmlformats.org/officeDocument/2006/relationships/image" Target="media/image7.png"/><Relationship Id="rId66" Type="http://schemas.openxmlformats.org/officeDocument/2006/relationships/image" Target="media/image8.png"/><Relationship Id="rId67" Type="http://schemas.openxmlformats.org/officeDocument/2006/relationships/hyperlink" Target="https://github.com/archibaldzhou/PIS/blob/9106b7f75cb1355c1df3d53407051622c18e5e72/frontend/ui-tests/viewer-validation.spec.ts" TargetMode="External"/><Relationship Id="rId68" Type="http://schemas.openxmlformats.org/officeDocument/2006/relationships/image" Target="media/image9.png"/><Relationship Id="rId69" Type="http://schemas.openxmlformats.org/officeDocument/2006/relationships/image" Target="media/image10.png"/><Relationship Id="rId70" Type="http://schemas.openxmlformats.org/officeDocument/2006/relationships/hyperlink" Target="https://github.com/archibaldzhou/PIS/blob/9106b7f75cb1355c1df3d53407051622c18e5e72/frontend/src/features/ai/AiRegistry.tsx" TargetMode="External"/><Relationship Id="rId71" Type="http://schemas.openxmlformats.org/officeDocument/2006/relationships/hyperlink" Target="https://github.com/archibaldzhou/PIS/blob/9106b7f75cb1355c1df3d53407051622c18e5e72/docs/api/t34-ai-registry.md" TargetMode="External"/><Relationship Id="rId72" Type="http://schemas.openxmlformats.org/officeDocument/2006/relationships/image" Target="media/image11.png"/><Relationship Id="rId73" Type="http://schemas.openxmlformats.org/officeDocument/2006/relationships/image" Target="media/image12.png"/><Relationship Id="rId74" Type="http://schemas.openxmlformats.org/officeDocument/2006/relationships/hyperlink" Target="https://github.com/archibaldzhou/PIS/blob/9106b7f75cb1355c1df3d53407051622c18e5e72/frontend/src/features/ai/SyntheticTasks.tsx" TargetMode="External"/><Relationship Id="rId75" Type="http://schemas.openxmlformats.org/officeDocument/2006/relationships/hyperlink" Target="https://github.com/archibaldzhou/PIS/blob/9106b7f75cb1355c1df3d53407051622c18e5e72/docs/api/t35-synthetic-tasks.md" TargetMode="External"/><Relationship Id="rId76" Type="http://schemas.openxmlformats.org/officeDocument/2006/relationships/image" Target="media/image13.png"/><Relationship Id="rId77" Type="http://schemas.openxmlformats.org/officeDocument/2006/relationships/image" Target="media/image14.png"/><Relationship Id="rId78" Type="http://schemas.openxmlformats.org/officeDocument/2006/relationships/hyperlink" Target="https://github.com/archibaldzhou/PIS/blob/9106b7f75cb1355c1df3d53407051622c18e5e72/frontend/src/features/viewer/ResultOverlay.tsx" TargetMode="External"/><Relationship Id="rId79" Type="http://schemas.openxmlformats.org/officeDocument/2006/relationships/hyperlink" Target="https://github.com/archibaldzhou/PIS/blob/9106b7f75cb1355c1df3d53407051622c18e5e72/docs/api/t36-synthetic-results.md" TargetMode="External"/><Relationship Id="rId80" Type="http://schemas.openxmlformats.org/officeDocument/2006/relationships/image" Target="media/image15.png"/><Relationship Id="rId81" Type="http://schemas.openxmlformats.org/officeDocument/2006/relationships/image" Target="media/image16.png"/><Relationship Id="rId82" Type="http://schemas.openxmlformats.org/officeDocument/2006/relationships/hyperlink" Target="https://github.com/archibaldzhou/PIS/blob/9106b7f75cb1355c1df3d53407051622c18e5e72/frontend/src/features/report/SyntheticDecision.tsx" TargetMode="External"/><Relationship Id="rId83" Type="http://schemas.openxmlformats.org/officeDocument/2006/relationships/hyperlink" Target="https://github.com/archibaldzhou/PIS/blob/9106b7f75cb1355c1df3d53407051622c18e5e72/docs/evidence/t37/README.md" TargetMode="External"/><Relationship Id="rId84" Type="http://schemas.openxmlformats.org/officeDocument/2006/relationships/image" Target="media/image17.png"/><Relationship Id="rId85" Type="http://schemas.openxmlformats.org/officeDocument/2006/relationships/image" Target="media/image18.png"/><Relationship Id="rId86" Type="http://schemas.openxmlformats.org/officeDocument/2006/relationships/hyperlink" Target="https://github.com/archibaldzhou/PIS/blob/9106b7f75cb1355c1df3d53407051622c18e5e72/frontend/src/features/report/ImpactReview.tsx" TargetMode="External"/><Relationship Id="rId87" Type="http://schemas.openxmlformats.org/officeDocument/2006/relationships/hyperlink" Target="https://github.com/archibaldzhou/PIS/blob/9106b7f75cb1355c1df3d53407051622c18e5e72/docs/evidence/t38/README.md" TargetMode="External"/><Relationship Id="rId88" Type="http://schemas.openxmlformats.org/officeDocument/2006/relationships/image" Target="media/image19.png"/><Relationship Id="rId89" Type="http://schemas.openxmlformats.org/officeDocument/2006/relationships/hyperlink" Target="https://github.com/archibaldzhou/PIS/blob/9106b7f75cb1355c1df3d53407051622c18e5e72/frontend/src/features/integration/Adapters.tsx" TargetMode="External"/><Relationship Id="rId90" Type="http://schemas.openxmlformats.org/officeDocument/2006/relationships/hyperlink" Target="https://github.com/archibaldzhou/PIS/blob/9106b7f75cb1355c1df3d53407051622c18e5e72/docs/api/local-hospital-adapter.md" TargetMode="External"/><Relationship Id="rId91" Type="http://schemas.openxmlformats.org/officeDocument/2006/relationships/image" Target="media/image20.png"/><Relationship Id="rId92" Type="http://schemas.openxmlformats.org/officeDocument/2006/relationships/hyperlink" Target="https://github.com/archibaldzhou/PIS/blob/9106b7f75cb1355c1df3d53407051622c18e5e72/frontend/src/features/operations/Operations.tsx" TargetMode="External"/><Relationship Id="rId93" Type="http://schemas.openxmlformats.org/officeDocument/2006/relationships/hyperlink" Target="https://github.com/archibaldzhou/PIS/blob/9106b7f75cb1355c1df3d53407051622c18e5e72/docs/evidence/t42/dist-login.png" TargetMode="External"/><Relationship Id="rId94" Type="http://schemas.openxmlformats.org/officeDocument/2006/relationships/hyperlink" Target="https://github.com/archibaldzhou/PIS/blob/9106b7f75cb1355c1df3d53407051622c18e5e72/docs/evidence/t42/dist-error.png" TargetMode="External"/><Relationship Id="rId95" Type="http://schemas.openxmlformats.org/officeDocument/2006/relationships/hyperlink" Target="https://github.com/archibaldzhou/PIS/blob/9106b7f75cb1355c1df3d53407051622c18e5e72/docs/evidence/t42/adapter-ui.png" TargetMode="External"/><Relationship Id="rId96" Type="http://schemas.openxmlformats.org/officeDocument/2006/relationships/hyperlink" Target="https://github.com/archibaldzhou/PIS/blob/9106b7f75cb1355c1df3d53407051622c18e5e72/docs/evidence/t31/synthetic-viewer.png" TargetMode="External"/><Relationship Id="rId97" Type="http://schemas.openxmlformats.org/officeDocument/2006/relationships/hyperlink" Target="https://github.com/archibaldzhou/PIS/blob/9106b7f75cb1355c1df3d53407051622c18e5e72/docs/evidence/t33/synthetic-roi.png" TargetMode="External"/><Relationship Id="rId98" Type="http://schemas.openxmlformats.org/officeDocument/2006/relationships/hyperlink" Target="https://github.com/archibaldzhou/PIS/blob/9106b7f75cb1355c1df3d53407051622c18e5e72/docs/evidence/t33/t33-dual-1280.png" TargetMode="External"/><Relationship Id="rId99" Type="http://schemas.openxmlformats.org/officeDocument/2006/relationships/hyperlink" Target="https://github.com/archibaldzhou/PIS/blob/9106b7f75cb1355c1df3d53407051622c18e5e72/docs/evidence/t34/synthetic-ai-registry.png" TargetMode="External"/><Relationship Id="rId100" Type="http://schemas.openxmlformats.org/officeDocument/2006/relationships/hyperlink" Target="https://github.com/archibaldzhou/PIS/blob/9106b7f75cb1355c1df3d53407051622c18e5e72/docs/evidence/t35/synthetic-task-queue.png" TargetMode="External"/><Relationship Id="rId101" Type="http://schemas.openxmlformats.org/officeDocument/2006/relationships/hyperlink" Target="https://github.com/archibaldzhou/PIS/blob/9106b7f75cb1355c1df3d53407051622c18e5e72/docs/evidence/t36/synthetic-overlay.png" TargetMode="External"/><Relationship Id="rId102" Type="http://schemas.openxmlformats.org/officeDocument/2006/relationships/hyperlink" Target="https://github.com/archibaldzhou/PIS/blob/9106b7f75cb1355c1df3d53407051622c18e5e72/docs/evidence/t36/README.md" TargetMode="External"/><Relationship Id="rId103" Type="http://schemas.openxmlformats.org/officeDocument/2006/relationships/hyperlink" Target="https://github.com/archibaldzhou/PIS/blob/9106b7f75cb1355c1df3d53407051622c18e5e72/docs/evidence/t36/synthetic-overlay-rotated-flipped-cropped.png" TargetMode="External"/><Relationship Id="rId104" Type="http://schemas.openxmlformats.org/officeDocument/2006/relationships/hyperlink" Target="https://github.com/archibaldzhou/PIS/blob/9106b7f75cb1355c1df3d53407051622c18e5e72/docs/evidence/t37/screenshots/synthetic-human-reference.png" TargetMode="External"/><Relationship Id="rId105" Type="http://schemas.openxmlformats.org/officeDocument/2006/relationships/hyperlink" Target="https://github.com/archibaldzhou/PIS/blob/9106b7f75cb1355c1df3d53407051622c18e5e72/docs/evidence/t38/screenshots/synthetic-impact-history.png" TargetMode="External"/><Relationship Id="rId106" Type="http://schemas.openxmlformats.org/officeDocument/2006/relationships/hyperlink" Target="https://github.com/archibaldzhou/PIS/blob/9106b7f75cb1355c1df3d53407051622c18e5e72/docs/evidence/t42/operations-ui.png" TargetMode="External"/><Relationship Id="rId107" Type="http://schemas.openxmlformats.org/officeDocument/2006/relationships/hyperlink" Target="https://github.com/archibaldzhou/PIS/blob/9106b7f75cb1355c1df3d53407051622c18e5e72/docs/acceptance/prototype-map.json" TargetMode="External"/><Relationship Id="rId108" Type="http://schemas.openxmlformats.org/officeDocument/2006/relationships/hyperlink" Target="https://github.com/archibaldzhou/PIS/blob/9106b7f75cb1355c1df3d53407051622c18e5e72/docs/security-access-contro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PIS用户操作手册 页面截图版</dc:title>
  <dc:subject>合成开发环境用户操作指引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