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4"/>
          <w:szCs w:val="44"/>
        </w:rPr>
        <w:t xml:space="preserve">PROSPECTIVE 2025-2030 : USE CASES FUTURISTES DE L'IA BANCAIRE</w:t>
      </w:r>
    </w:p>
    <w:p>
      <w:pPr>
        <w:spacing w:before="400"/>
      </w:pPr>
    </w:p>
    <w:p>
      <w:pPr>
        <w:jc w:val="center"/>
      </w:pPr>
      <w:r>
        <w:rPr>
          <w:i/>
          <w:iCs/>
          <w:color w:val="5B9BD5"/>
          <w:sz w:val="28"/>
          <w:szCs w:val="28"/>
        </w:rPr>
        <w:t xml:space="preserve">Analyse Approfondie des Évolutions Technologiques Émergentes</w:t>
      </w:r>
    </w:p>
    <w:p>
      <w:pPr>
        <w:spacing w:before="600"/>
      </w:pPr>
    </w:p>
    <w:p>
      <w:pPr>
        <w:jc w:val="center"/>
      </w:pPr>
      <w:r>
        <w:rPr>
          <w:color w:val="666666"/>
          <w:sz w:val="24"/>
          <w:szCs w:val="24"/>
        </w:rPr>
        <w:t xml:space="preserve">Deep Research &amp; Analysis</w:t>
      </w:r>
    </w:p>
    <w:p>
      <w:pPr>
        <w:jc w:val="center"/>
      </w:pPr>
      <w:r>
        <w:rPr>
          <w:color w:val="666666"/>
          <w:sz w:val="24"/>
          <w:szCs w:val="24"/>
        </w:rPr>
        <w:t xml:space="preserve">Janvier 2026</w:t>
      </w:r>
    </w:p>
    <w:p>
      <w:r>
        <w:br w:type="page"/>
      </w:r>
    </w:p>
    <w:p>
      <w:pPr>
        <w:pStyle w:val="Heading1"/>
      </w:pPr>
      <w:r>
        <w:t xml:space="preserve">TABLE DES MATIÈRES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SYNTHÈSE EXECUTIVE</w:t>
      </w:r>
    </w:p>
    <w:p>
      <w:pPr>
        <w:spacing w:after="200"/>
      </w:pPr>
      <w:r>
        <w:rPr>
          <w:sz w:val="22"/>
          <w:szCs w:val="22"/>
        </w:rPr>
        <w:t xml:space="preserve">Cette analyse prospective explore les use cases véritablement futuristes qui transformeront radicalement six domaines clés de la banque entre 2025 et 2030 : le scoring, la recommandation de produits, l'exploitation des échanges conseillers-clients, la fraude, le réglementaire et le servicing bancaire.</w:t>
      </w:r>
    </w:p>
    <w:p>
      <w:pPr>
        <w:spacing w:after="200"/>
      </w:pPr>
      <w:r>
        <w:rPr>
          <w:sz w:val="22"/>
          <w:szCs w:val="22"/>
        </w:rPr>
        <w:t xml:space="preserve">Au-delà des applications existantes d'IA générative et de machine learning, nous projetons l'impact de technologies émergentes majeures :
• L'IA agentique autonome capable d'agir sans supervision sur des workflows complexes
• L'informatique quantique pour des calculs de risque en temps réel sur des milliers de scénarios
• Les jumeaux numériques financiers simulant l'ensemble de la vie financière des clients
• L'argent programmable et les smart contracts autonomes
• La biométrie comportementale multimodale et la détection de deepfakes
• Les systèmes cognitifs émotionnellement intelligents</w:t>
      </w:r>
    </w:p>
    <w:p>
      <w:pPr>
        <w:spacing w:after="200"/>
      </w:pPr>
      <w:r>
        <w:rPr>
          <w:sz w:val="22"/>
          <w:szCs w:val="22"/>
        </w:rPr>
        <w:t xml:space="preserve">Ces technologies convergent vers une vision de "banque invisible" où 60% de la vie financière sera gérée de manière autonome par des agents IA d'ici 2030, selon les projections ISG.</w:t>
      </w:r>
    </w:p>
    <w:p>
      <w:r>
        <w:br w:type="page"/>
      </w:r>
    </w:p>
    <w:p>
      <w:pPr>
        <w:pStyle w:val="Heading1"/>
      </w:pPr>
      <w:r>
        <w:t xml:space="preserve">1. SCORING : LA RÉVOLUTION DU CRÉDIT PRÉDICTIF CONTINU</w:t>
      </w:r>
    </w:p>
    <w:p>
      <w:pPr>
        <w:shd w:fill="F0F5FA" w:val="clear"/>
        <w:spacing w:after="200"/>
      </w:pPr>
      <w:r>
        <w:rPr>
          <w:i/>
          <w:iCs/>
          <w:sz w:val="22"/>
          <w:szCs w:val="22"/>
        </w:rPr>
        <w:t xml:space="preserve">Le scoring traditionnel, basé sur l'historique de crédit statique, va être entièrement repensé. D'ici 2030, nous passerons d'une évaluation ponctuelle à un "score vivant" qui évolue en temps réel et prédit les événements de vie avant qu'ils ne surviennent.</w:t>
      </w:r>
    </w:p>
    <w:p>
      <w:pPr>
        <w:pStyle w:val="Heading2"/>
      </w:pPr>
      <w:r>
        <w:t xml:space="preserve">1.1 Score Quantique Multi-Dimensionnel</w:t>
      </w:r>
    </w:p>
    <w:p>
      <w:pPr>
        <w:spacing w:after="150"/>
      </w:pPr>
      <w:r>
        <w:rPr>
          <w:sz w:val="22"/>
          <w:szCs w:val="22"/>
        </w:rPr>
        <w:t xml:space="preserve">L'informatique quantique va révolutionner l'évaluation du risque crédit en permettant l'analyse simultanée de milliers de variables interconnectées. Les recherches de BIS et McKinsey projettent que les algorithmes quantiques (QAOA, QML hybride) permettront :</w:t>
      </w:r>
    </w:p>
    <w:p>
      <w:pPr>
        <w:pStyle w:val="ListParagraph"/>
        <w:numPr>
          <w:ilvl w:val="0"/>
          <w:numId w:val="2"/>
        </w:numPr>
        <w:spacing w:after="80"/>
      </w:pPr>
      <w:r>
        <w:rPr>
          <w:sz w:val="22"/>
          <w:szCs w:val="22"/>
        </w:rPr>
        <w:t xml:space="preserve">Simulation de 10 000+ scénarios économiques en temps réel vs quelques dizaines aujourd'hui
• Intégration de variables jusqu'ici impossibles à modéliser : corrélations systémiques, effets de cascade
• Réduction du temps d'entraînement des modèles de 200x grâce au quantum annealing (D-Wave)
• Score dynamique recalculé chaque seconde selon les flux de données</w:t>
      </w:r>
    </w:p>
    <w:p>
      <w:pPr>
        <w:spacing w:after="150"/>
      </w:pPr>
      <w:r>
        <w:rPr>
          <w:sz w:val="22"/>
          <w:szCs w:val="22"/>
        </w:rPr>
        <w:t xml:space="preserve">Le projet HSBC/IBM de septembre 2025 a démontré une amélioration de 34% de la prédiction des probabilités de défaut grâce au processeur quantique Heron. D'ici 2028, les banques disposeront de "moteurs de risque quantique" calculant la solvabilité d'un emprunteur selon des milliers de futurs possibles simultanément.</w:t>
      </w:r>
    </w:p>
    <w:p>
      <w:pPr>
        <w:pStyle w:val="Heading2"/>
      </w:pPr>
      <w:r>
        <w:t xml:space="preserve">1.2 Score Comportemental Prédictif des Événements de Vie</w:t>
      </w:r>
    </w:p>
    <w:p>
      <w:pPr>
        <w:spacing w:after="150"/>
      </w:pPr>
      <w:r>
        <w:rPr>
          <w:sz w:val="22"/>
          <w:szCs w:val="22"/>
        </w:rPr>
        <w:t xml:space="preserve">Au-delà des données transactionnelles, l'IA analysera des signaux faibles pour prédire les événements de vie AVANT qu'ils ne surviennent :</w:t>
      </w:r>
    </w:p>
    <w:p>
      <w:pPr>
        <w:pStyle w:val="ListParagraph"/>
        <w:numPr>
          <w:ilvl w:val="0"/>
          <w:numId w:val="2"/>
        </w:numPr>
        <w:spacing w:after="80"/>
      </w:pPr>
      <w:r>
        <w:rPr>
          <w:sz w:val="22"/>
          <w:szCs w:val="22"/>
        </w:rPr>
        <w:t xml:space="preserve">Détection d'intention d'achat immobilier : analyse des recherches, visites de sites, discussions (avec consentement)
• Prédiction de changement d'emploi : patterns de mobilité, activité LinkedIn, variations de dépenses
• Anticipation de situations de stress financier : 2-3 mois avant les premiers impayés
• Projection des revenus futurs basée sur la trajectoire de carrière et le secteur</w:t>
      </w:r>
    </w:p>
    <w:p>
      <w:pPr>
        <w:spacing w:after="150"/>
      </w:pPr>
      <w:r>
        <w:rPr>
          <w:sz w:val="22"/>
          <w:szCs w:val="22"/>
        </w:rPr>
        <w:t xml:space="preserve">L'étude Jump 2026 révèle que l'analyse des conversations conseillers-clients prédit les comportements économiques (ventes immobilières) avec 1 mois d'avance sur les statistiques officielles. Le "Financial Readiness Score" (FRS) deviendra un indicateur prédictif de la capacité financière future, pas seulement passée.</w:t>
      </w:r>
    </w:p>
    <w:p>
      <w:pPr>
        <w:pStyle w:val="Heading2"/>
      </w:pPr>
      <w:r>
        <w:t xml:space="preserve">1.3 Score Psychométrique et Empreinte Digitale</w:t>
      </w:r>
    </w:p>
    <w:p>
      <w:pPr>
        <w:spacing w:after="150"/>
      </w:pPr>
      <w:r>
        <w:rPr>
          <w:sz w:val="22"/>
          <w:szCs w:val="22"/>
        </w:rPr>
        <w:t xml:space="preserve">Les tests psychométriques et l'analyse de l'empreinte digitale deviennent des sources de scoring alternatives majeures :</w:t>
      </w:r>
    </w:p>
    <w:p>
      <w:pPr>
        <w:pStyle w:val="ListParagraph"/>
        <w:numPr>
          <w:ilvl w:val="0"/>
          <w:numId w:val="2"/>
        </w:numPr>
        <w:spacing w:after="80"/>
      </w:pPr>
      <w:r>
        <w:rPr>
          <w:sz w:val="22"/>
          <w:szCs w:val="22"/>
        </w:rPr>
        <w:t xml:space="preserve">Analyse comportementale : rythme de frappe, patterns de navigation, heure de connexion
• Tests psychométriques prédisant les comportements de remboursement (+5% de taux d'acceptation au Kenya)
• Empreinte digitale : type d'appareil, adresse email, historique de création de comptes
• Score de stabilité émotionnelle corrélé avec la discipline financière</w:t>
      </w:r>
    </w:p>
    <w:p>
      <w:pPr>
        <w:spacing w:after="150"/>
      </w:pPr>
      <w:r>
        <w:rPr>
          <w:sz w:val="22"/>
          <w:szCs w:val="22"/>
        </w:rPr>
        <w:t xml:space="preserve">Une étude du National Bureau of Economic Research montre que les signaux d'empreinte digitale prédisent les défauts avec une précision comparable aux scores FICO traditionnels. En Inde, à partir d'avril 2026, le fisc aura autorité pour analyser l'activité digitale des contribuables, ouvrant la voie à des scores fiscalo-comportementaux.</w:t>
      </w:r>
    </w:p>
    <w:p>
      <w:pPr>
        <w:pStyle w:val="Heading2"/>
      </w:pPr>
      <w:r>
        <w:t xml:space="preserve">1.4 Score Auto-Adaptatif et Jumeau Numérique Financier</w:t>
      </w:r>
    </w:p>
    <w:p>
      <w:pPr>
        <w:spacing w:after="150"/>
      </w:pPr>
      <w:r>
        <w:rPr>
          <w:sz w:val="22"/>
          <w:szCs w:val="22"/>
        </w:rPr>
        <w:t xml:space="preserve">Le concept de "jumeau numérique financier" (Financial Digital Twin) va transformer le scoring en simulation continue :</w:t>
      </w:r>
    </w:p>
    <w:p>
      <w:pPr>
        <w:pStyle w:val="ListParagraph"/>
        <w:numPr>
          <w:ilvl w:val="0"/>
          <w:numId w:val="2"/>
        </w:numPr>
        <w:spacing w:after="80"/>
      </w:pPr>
      <w:r>
        <w:rPr>
          <w:sz w:val="22"/>
          <w:szCs w:val="22"/>
        </w:rPr>
        <w:t xml:space="preserve">Réplique virtuelle complète du profil financier client mise à jour en temps réel
• Simulation "what-if" : que se passe-t-il si le client perd son emploi, achète une maison, divorce ?
• Score contextuel variant selon les scénarios et les produits considérés
• Capacité d'auto-apprentissage : le modèle s'améliore à chaque interaction</w:t>
      </w:r>
    </w:p>
    <w:p>
      <w:pPr>
        <w:spacing w:after="150"/>
      </w:pPr>
      <w:r>
        <w:rPr>
          <w:sz w:val="22"/>
          <w:szCs w:val="22"/>
        </w:rPr>
        <w:t xml:space="preserve">Les recherches de DataKite Institute montrent que ces jumeaux permettent de tester des milliers de stratégies de crédit virtuellement avant implémentation réelle. L'évolution vers des "Autonomous Cognitive Twins" (2024+) utilisant le meta-learning (MAML) permet une adaptation autonome aux changements de comportement.</w:t>
      </w:r>
    </w:p>
    <w:p>
      <w:r>
        <w:br w:type="page"/>
      </w:r>
    </w:p>
    <w:p>
      <w:pPr>
        <w:pStyle w:val="Heading1"/>
      </w:pPr>
      <w:r>
        <w:t xml:space="preserve">2. RECOMMANDATION DE PRODUITS : L'HYPER-PERSONNALISATION PROACTIVE</w:t>
      </w:r>
    </w:p>
    <w:p>
      <w:pPr>
        <w:shd w:fill="F0F5FA" w:val="clear"/>
        <w:spacing w:after="200"/>
      </w:pPr>
      <w:r>
        <w:rPr>
          <w:i/>
          <w:iCs/>
          <w:sz w:val="22"/>
          <w:szCs w:val="22"/>
        </w:rPr>
        <w:t xml:space="preserve">La recommandation de produits va passer d'une logique réactive ("next best offer" après une action client) à une logique proactive anticipatoire où l'agent IA agit AVANT que le besoin ne soit exprimé.</w:t>
      </w:r>
    </w:p>
    <w:p>
      <w:pPr>
        <w:pStyle w:val="Heading2"/>
      </w:pPr>
      <w:r>
        <w:t xml:space="preserve">2.1 Agent Bancaire Autonome (Agentic AI)</w:t>
      </w:r>
    </w:p>
    <w:p>
      <w:pPr>
        <w:spacing w:after="150"/>
      </w:pPr>
      <w:r>
        <w:rPr>
          <w:sz w:val="22"/>
          <w:szCs w:val="22"/>
        </w:rPr>
        <w:t xml:space="preserve">L'IA agentique représente un changement de paradigme majeur : l'agent ne répond plus, il AGIT de manière autonome :</w:t>
      </w:r>
    </w:p>
    <w:p>
      <w:pPr>
        <w:pStyle w:val="ListParagraph"/>
        <w:numPr>
          <w:ilvl w:val="0"/>
          <w:numId w:val="2"/>
        </w:numPr>
        <w:spacing w:after="80"/>
      </w:pPr>
      <w:r>
        <w:rPr>
          <w:sz w:val="22"/>
          <w:szCs w:val="22"/>
        </w:rPr>
        <w:t xml:space="preserve">Détection automatique de surplus de trésorerie → allocation optimale sans intervention
• Surveillance continue des opportunités : renégociation de prêt, arbitrage d'épargne
• Négociation autonome de conditions : l'agent négocie avec les systèmes de la banque
• Exécution multi-étapes sans supervision : de l'identification du besoin à la souscription</w:t>
      </w:r>
    </w:p>
    <w:p>
      <w:pPr>
        <w:spacing w:after="150"/>
      </w:pPr>
      <w:r>
        <w:rPr>
          <w:sz w:val="22"/>
          <w:szCs w:val="22"/>
        </w:rPr>
        <w:t xml:space="preserve">Wells Fargo Fargo a réalisé 200+ millions d'interactions client entièrement autonomes. JPMorgan cible 1,5 milliard $ de valeur via son assistant GenAI déployé à 140 000 employés. D'ici 2028, IDC projette 1,3 milliard d'agents IA dans les workflows business.</w:t>
      </w:r>
    </w:p>
    <w:p>
      <w:pPr>
        <w:spacing w:after="150"/>
      </w:pPr>
      <w:r>
        <w:rPr>
          <w:sz w:val="22"/>
          <w:szCs w:val="22"/>
        </w:rPr>
        <w:t xml:space="preserve">Le concept de "Do It For Me Economy" (Citibank) décrit un futur où l'agent gère la complexité financière, libérant le client pour ce qui compte vraiment.</w:t>
      </w:r>
    </w:p>
    <w:p>
      <w:pPr>
        <w:pStyle w:val="Heading2"/>
      </w:pPr>
      <w:r>
        <w:t xml:space="preserve">2.2 Recommandation Contextuelle Temps Réel</w:t>
      </w:r>
    </w:p>
    <w:p>
      <w:pPr>
        <w:spacing w:after="150"/>
      </w:pPr>
      <w:r>
        <w:rPr>
          <w:sz w:val="22"/>
          <w:szCs w:val="22"/>
        </w:rPr>
        <w:t xml:space="preserve">La personnalisation va devenir géo-temporelle et émotionnellement intelligente :</w:t>
      </w:r>
    </w:p>
    <w:p>
      <w:pPr>
        <w:pStyle w:val="ListParagraph"/>
        <w:numPr>
          <w:ilvl w:val="0"/>
          <w:numId w:val="2"/>
        </w:numPr>
        <w:spacing w:after="80"/>
      </w:pPr>
      <w:r>
        <w:rPr>
          <w:sz w:val="22"/>
          <w:szCs w:val="22"/>
        </w:rPr>
        <w:t xml:space="preserve">Offre déclenchée par le contexte : vous entrez chez un concessionnaire → pré-approbation auto instantanée
• Personnalisation météo/événementielle : assurance voyage activée automatiquement à l'aéroport
• Micro-assurance dynamique : couverture ski activée quand vous arrivez en montagne
• Bundle adaptatif : package de services pour la logistique internationale proposé au CFO en déplacement</w:t>
      </w:r>
    </w:p>
    <w:p>
      <w:pPr>
        <w:spacing w:after="150"/>
      </w:pPr>
      <w:r>
        <w:rPr>
          <w:sz w:val="22"/>
          <w:szCs w:val="22"/>
        </w:rPr>
        <w:t xml:space="preserve">Ma French Bank a augmenté l'engagement de 68% en utilisant l'analyse first-party data pour proposer "le bon produit, au bon client, au bon moment". La clé est l'orchestration multi-canal : message via le canal préféré (app, email, SMS) au moment optimal.</w:t>
      </w:r>
    </w:p>
    <w:p>
      <w:pPr>
        <w:pStyle w:val="Heading2"/>
      </w:pPr>
      <w:r>
        <w:t xml:space="preserve">2.3 Conseiller Avatar Intelligent</w:t>
      </w:r>
    </w:p>
    <w:p>
      <w:pPr>
        <w:spacing w:after="150"/>
      </w:pPr>
      <w:r>
        <w:rPr>
          <w:sz w:val="22"/>
          <w:szCs w:val="22"/>
        </w:rPr>
        <w:t xml:space="preserve">L'évolution vers des avatars IA émotionnellement intelligents va transformer l'expérience client :</w:t>
      </w:r>
    </w:p>
    <w:p>
      <w:pPr>
        <w:pStyle w:val="ListParagraph"/>
        <w:numPr>
          <w:ilvl w:val="0"/>
          <w:numId w:val="2"/>
        </w:numPr>
        <w:spacing w:after="80"/>
      </w:pPr>
      <w:r>
        <w:rPr>
          <w:sz w:val="22"/>
          <w:szCs w:val="22"/>
        </w:rPr>
        <w:t xml:space="preserve">Avatar vocal capable de moduler le ton selon l'état émotionnel détecté
• Détection d'urgence dans la voix → ajustement du comportement et escalade si nécessaire
• Mémoire contextuelle : l'avatar se souvient des conversations précédentes
• Capacité multilingue instantanée : service en langue native partout dans le monde</w:t>
      </w:r>
    </w:p>
    <w:p>
      <w:pPr>
        <w:spacing w:after="150"/>
      </w:pPr>
      <w:r>
        <w:rPr>
          <w:sz w:val="22"/>
          <w:szCs w:val="22"/>
        </w:rPr>
        <w:t xml:space="preserve">Les recherches de OpenAI/Andreessen Horowitz confirment que "la qualité conversationnelle est désormais un problème résolu". L'investissement dans la Voice AI a été multiplié par 8 en 2024 tandis que les coûts ont chuté, permettant un déploiement à grande échelle.</w:t>
      </w:r>
    </w:p>
    <w:p>
      <w:pPr>
        <w:pStyle w:val="Heading2"/>
      </w:pPr>
      <w:r>
        <w:t xml:space="preserve">2.4 Finance Embarquée et Invisible</w:t>
      </w:r>
    </w:p>
    <w:p>
      <w:pPr>
        <w:spacing w:after="150"/>
      </w:pPr>
      <w:r>
        <w:rPr>
          <w:sz w:val="22"/>
          <w:szCs w:val="22"/>
        </w:rPr>
        <w:t xml:space="preserve">La recommandation va s'intégrer dans les parcours non-financiers :</w:t>
      </w:r>
    </w:p>
    <w:p>
      <w:pPr>
        <w:pStyle w:val="ListParagraph"/>
        <w:numPr>
          <w:ilvl w:val="0"/>
          <w:numId w:val="2"/>
        </w:numPr>
        <w:spacing w:after="80"/>
      </w:pPr>
      <w:r>
        <w:rPr>
          <w:sz w:val="22"/>
          <w:szCs w:val="22"/>
        </w:rPr>
        <w:t xml:space="preserve">Paiement vocal depuis la voiture, le réfrigérateur connecté, la montre
• Crédit instantané au checkout e-commerce sans quitter le site marchand
• Assurance activée automatiquement lors de l'achat d'un billet d'avion
• Épargne automatique arrondie au centime supérieur sur chaque achat</w:t>
      </w:r>
    </w:p>
    <w:p>
      <w:pPr>
        <w:spacing w:after="150"/>
      </w:pPr>
      <w:r>
        <w:rPr>
          <w:sz w:val="22"/>
          <w:szCs w:val="22"/>
        </w:rPr>
        <w:t xml:space="preserve">Le marché de l'embedded B2B payments devrait atteindre 16 000 milliards $ de volume de transactions d'ici 2030. La finance devient "invisible" : intégrée dans la vie quotidienne sans interaction consciente avec la banque.</w:t>
      </w:r>
    </w:p>
    <w:p>
      <w:r>
        <w:br w:type="page"/>
      </w:r>
    </w:p>
    <w:p>
      <w:pPr>
        <w:pStyle w:val="Heading1"/>
      </w:pPr>
      <w:r>
        <w:t xml:space="preserve">3. ÉCHANGES VOCAUX ET TEXTUELS : L'INTELLIGENCE CONVERSATIONNELLE</w:t>
      </w:r>
    </w:p>
    <w:p>
      <w:pPr>
        <w:shd w:fill="F0F5FA" w:val="clear"/>
        <w:spacing w:after="200"/>
      </w:pPr>
      <w:r>
        <w:rPr>
          <w:i/>
          <w:iCs/>
          <w:sz w:val="22"/>
          <w:szCs w:val="22"/>
        </w:rPr>
        <w:t xml:space="preserve">L'exploitation des échanges entre conseillers et clients va passer de l'analyse post-hoc à l'intelligence augmentée temps réel, transformant chaque conversation en opportunité de création de valeur.</w:t>
      </w:r>
    </w:p>
    <w:p>
      <w:pPr>
        <w:pStyle w:val="Heading2"/>
      </w:pPr>
      <w:r>
        <w:t xml:space="preserve">3.1 Coach IA en Temps Réel pour les Conseillers</w:t>
      </w:r>
    </w:p>
    <w:p>
      <w:pPr>
        <w:spacing w:after="150"/>
      </w:pPr>
      <w:r>
        <w:rPr>
          <w:sz w:val="22"/>
          <w:szCs w:val="22"/>
        </w:rPr>
        <w:t xml:space="preserve">Les conseillers seront augmentés par une IA qui analyse et guide pendant la conversation :</w:t>
      </w:r>
    </w:p>
    <w:p>
      <w:pPr>
        <w:pStyle w:val="ListParagraph"/>
        <w:numPr>
          <w:ilvl w:val="0"/>
          <w:numId w:val="2"/>
        </w:numPr>
        <w:spacing w:after="80"/>
      </w:pPr>
      <w:r>
        <w:rPr>
          <w:sz w:val="22"/>
          <w:szCs w:val="22"/>
        </w:rPr>
        <w:t xml:space="preserve">Analyse émotionnelle en temps réel : détection de frustration, hésitation, satisfaction
• Suggestions de réponses adaptées à l'état émotionnel du client
• Alerte proactive : "Le client semble stressé, suggérer une pause / un report"
• Score d'intelligence émotionnelle du conseiller mesurant talk-time balance, questions ouvertes, empathie</w:t>
      </w:r>
    </w:p>
    <w:p>
      <w:pPr>
        <w:spacing w:after="150"/>
      </w:pPr>
      <w:r>
        <w:rPr>
          <w:sz w:val="22"/>
          <w:szCs w:val="22"/>
        </w:rPr>
        <w:t xml:space="preserve">L'étude Jump 2026 (12 000 réunions analysées) révèle que les conseillers du quartile supérieur en intelligence émotionnelle augmentent le sentiment client de 17,5% vs 9% pour les moins performants. Le "Client Sentiment Index" (1-10) prédit les décisions mieux que les données démographiques ou de portefeuille.</w:t>
      </w:r>
    </w:p>
    <w:p>
      <w:pPr>
        <w:pStyle w:val="Heading2"/>
      </w:pPr>
      <w:r>
        <w:t xml:space="preserve">3.2 Transcription et Analyse Automatique Intégrale</w:t>
      </w:r>
    </w:p>
    <w:p>
      <w:pPr>
        <w:spacing w:after="150"/>
      </w:pPr>
      <w:r>
        <w:rPr>
          <w:sz w:val="22"/>
          <w:szCs w:val="22"/>
        </w:rPr>
        <w:t xml:space="preserve">100% des conversations seront transcrites et analysées automatiquement :</w:t>
      </w:r>
    </w:p>
    <w:p>
      <w:pPr>
        <w:pStyle w:val="ListParagraph"/>
        <w:numPr>
          <w:ilvl w:val="0"/>
          <w:numId w:val="2"/>
        </w:numPr>
        <w:spacing w:after="80"/>
      </w:pPr>
      <w:r>
        <w:rPr>
          <w:sz w:val="22"/>
          <w:szCs w:val="22"/>
        </w:rPr>
        <w:t xml:space="preserve">Extraction automatique des insights : thèmes récurrents, pain points, opportunités
• Classification des intentions : achat, réclamation, information, fidélisation
• Détection des signaux de churn 2-3 mois avant la perte effective du client
• Création automatique de résumés et action items post-conversation</w:t>
      </w:r>
    </w:p>
    <w:p>
      <w:pPr>
        <w:spacing w:after="150"/>
      </w:pPr>
      <w:r>
        <w:rPr>
          <w:sz w:val="22"/>
          <w:szCs w:val="22"/>
        </w:rPr>
        <w:t xml:space="preserve">Les plateformes comme Enthu.AI permettent déjà une analyse de 100% des appels avec détection de sentiment et scoring automatique de conformité. L'IA génère des feedbacks personnalisés pour améliorer les techniques conversationnelles des conseillers.</w:t>
      </w:r>
    </w:p>
    <w:p>
      <w:pPr>
        <w:pStyle w:val="Heading2"/>
      </w:pPr>
      <w:r>
        <w:t xml:space="preserve">3.3 Prédiction Macro-Économique via Conversations</w:t>
      </w:r>
    </w:p>
    <w:p>
      <w:pPr>
        <w:spacing w:after="150"/>
      </w:pPr>
      <w:r>
        <w:rPr>
          <w:sz w:val="22"/>
          <w:szCs w:val="22"/>
        </w:rPr>
        <w:t xml:space="preserve">L'agrégation des conversations révèle des tendances économiques anticipées :</w:t>
      </w:r>
    </w:p>
    <w:p>
      <w:pPr>
        <w:pStyle w:val="ListParagraph"/>
        <w:numPr>
          <w:ilvl w:val="0"/>
          <w:numId w:val="2"/>
        </w:numPr>
        <w:spacing w:after="80"/>
      </w:pPr>
      <w:r>
        <w:rPr>
          <w:sz w:val="22"/>
          <w:szCs w:val="22"/>
        </w:rPr>
        <w:t xml:space="preserve">L'intention des clients de vendre leur maison prédit les statistiques immobilières avec 1 mois d'avance
• Les discussions sur le changement d'emploi anticipent les mouvements du marché du travail
• Les inquiétudes exprimées signalent les tensions sectorielles avant les publications officielles
• Création d'indices propriétaires basés sur le sentiment conversationnel agrégé</w:t>
      </w:r>
    </w:p>
    <w:p>
      <w:pPr>
        <w:spacing w:after="150"/>
      </w:pPr>
      <w:r>
        <w:rPr>
          <w:sz w:val="22"/>
          <w:szCs w:val="22"/>
        </w:rPr>
        <w:t xml:space="preserve">Cette "intelligence conversationnelle agrégée" devient un avantage compétitif pour anticiper les cycles économiques et adapter proactivement les offres.</w:t>
      </w:r>
    </w:p>
    <w:p>
      <w:pPr>
        <w:pStyle w:val="Heading2"/>
      </w:pPr>
      <w:r>
        <w:t xml:space="preserve">3.4 Communication Agent-à-Agent</w:t>
      </w:r>
    </w:p>
    <w:p>
      <w:pPr>
        <w:spacing w:after="150"/>
      </w:pPr>
      <w:r>
        <w:rPr>
          <w:sz w:val="22"/>
          <w:szCs w:val="22"/>
        </w:rPr>
        <w:t xml:space="preserve">Le futur verra des agents IA conversant entre eux pour résoudre les problèmes plus rapidement :</w:t>
      </w:r>
    </w:p>
    <w:p>
      <w:pPr>
        <w:pStyle w:val="ListParagraph"/>
        <w:numPr>
          <w:ilvl w:val="0"/>
          <w:numId w:val="2"/>
        </w:numPr>
        <w:spacing w:after="80"/>
      </w:pPr>
      <w:r>
        <w:rPr>
          <w:sz w:val="22"/>
          <w:szCs w:val="22"/>
        </w:rPr>
        <w:t xml:space="preserve">L'agent IA personnel du client dialogue avec l'agent IA de la banque
• Négociation automatique de conditions, vérification de conformité, exécution
• "Je pense acheter une maison" → l'agent personnel contacte l'agent bancaire, collecte les options, présente une synthèse
• Orchestration multi-agents pour les opérations complexes (succession, restructuration)</w:t>
      </w:r>
    </w:p>
    <w:p>
      <w:pPr>
        <w:spacing w:after="150"/>
      </w:pPr>
      <w:r>
        <w:rPr>
          <w:sz w:val="22"/>
          <w:szCs w:val="22"/>
        </w:rPr>
        <w:t xml:space="preserve">Worldline anticipe que la communication AI-to-AI permettra de résoudre les problèmes "plus vite qu'un humain ne pourrait jamais le faire".</w:t>
      </w:r>
    </w:p>
    <w:p>
      <w:r>
        <w:br w:type="page"/>
      </w:r>
    </w:p>
    <w:p>
      <w:pPr>
        <w:pStyle w:val="Heading1"/>
      </w:pPr>
      <w:r>
        <w:t xml:space="preserve">4. FRAUDE : LA GUERRE DES INTELLIGENCES ARTIFICIELLES</w:t>
      </w:r>
    </w:p>
    <w:p>
      <w:pPr>
        <w:shd w:fill="F0F5FA" w:val="clear"/>
        <w:spacing w:after="200"/>
      </w:pPr>
      <w:r>
        <w:rPr>
          <w:i/>
          <w:iCs/>
          <w:sz w:val="22"/>
          <w:szCs w:val="22"/>
        </w:rPr>
        <w:t xml:space="preserve">La fraude entre dans une ère de confrontation IA vs IA où les criminels utilisent les mêmes technologies que les défenseurs. Les deepfakes, identités synthétiques et clonage vocal représentent des menaces existentielles nécessitant des contre-mesures radicalement nouvelles.</w:t>
      </w:r>
    </w:p>
    <w:p>
      <w:pPr>
        <w:pStyle w:val="Heading2"/>
      </w:pPr>
      <w:r>
        <w:t xml:space="preserve">4.1 Détection de Deepfakes et Identités Synthétiques</w:t>
      </w:r>
    </w:p>
    <w:p>
      <w:pPr>
        <w:spacing w:after="150"/>
      </w:pPr>
      <w:r>
        <w:rPr>
          <w:sz w:val="22"/>
          <w:szCs w:val="22"/>
        </w:rPr>
        <w:t xml:space="preserve">Les deepfakes coûtent déjà 12 milliards $ par an aux entreprises mondiales. Deloitte projette 23 milliards $ de pertes d'identités synthétiques d'ici 2030. Les contre-mesures émergentes :</w:t>
      </w:r>
    </w:p>
    <w:p>
      <w:pPr>
        <w:pStyle w:val="ListParagraph"/>
        <w:numPr>
          <w:ilvl w:val="0"/>
          <w:numId w:val="2"/>
        </w:numPr>
        <w:spacing w:after="80"/>
      </w:pPr>
      <w:r>
        <w:rPr>
          <w:sz w:val="22"/>
          <w:szCs w:val="22"/>
        </w:rPr>
        <w:t xml:space="preserve">Analyse photopléthysmographique (PPG) : Intel FakeCatcher détecte le flux sanguin dans les vidéos (96% de précision)
• Détection d'artefacts GAN : incohérences d'éclairage, micro-expressions impossibles, textures anormales
• Analyse des micro-tremblements vocaux : Nuance Gatekeeper détecte les voix synthétiques (99,1% de précision)
• Liveness detection avancée : analyse des micro-mouvements, variations de texture, patterns de réponse</w:t>
      </w:r>
    </w:p>
    <w:p>
      <w:pPr>
        <w:spacing w:after="150"/>
      </w:pPr>
      <w:r>
        <w:rPr>
          <w:sz w:val="22"/>
          <w:szCs w:val="22"/>
        </w:rPr>
        <w:t xml:space="preserve">La Coalition Against Deepfake Fraud (CADF) partage les renseignements sur les menaces. Une certification ISC2 "Deepfake Mitigation Specialist" a été lancée en 2025. Les simulations de phishing deepfake deviennent obligatoires dans la formation des employés.</w:t>
      </w:r>
    </w:p>
    <w:p>
      <w:pPr>
        <w:pStyle w:val="Heading2"/>
      </w:pPr>
      <w:r>
        <w:t xml:space="preserve">4.2 Biométrie Comportementale Multi-Modale</w:t>
      </w:r>
    </w:p>
    <w:p>
      <w:pPr>
        <w:spacing w:after="150"/>
      </w:pPr>
      <w:r>
        <w:rPr>
          <w:sz w:val="22"/>
          <w:szCs w:val="22"/>
        </w:rPr>
        <w:t xml:space="preserve">La sécurité va combiner plusieurs signaux biométriques simultanés :</w:t>
      </w:r>
    </w:p>
    <w:p>
      <w:pPr>
        <w:pStyle w:val="ListParagraph"/>
        <w:numPr>
          <w:ilvl w:val="0"/>
          <w:numId w:val="2"/>
        </w:numPr>
        <w:spacing w:after="80"/>
      </w:pPr>
      <w:r>
        <w:rPr>
          <w:sz w:val="22"/>
          <w:szCs w:val="22"/>
        </w:rPr>
        <w:t xml:space="preserve">Voix + comportement + appareil : authentification tripartite impossible à falsifier
• Analyse du rythme de frappe, mouvements de souris, patterns de navigation
• Device fingerprinting : identification silencieuse via l'empreinte unique de l'appareil
• Biométrie continue : vérification permanente pendant toute la session, pas seulement à l'entrée</w:t>
      </w:r>
    </w:p>
    <w:p>
      <w:pPr>
        <w:spacing w:after="150"/>
      </w:pPr>
      <w:r>
        <w:rPr>
          <w:sz w:val="22"/>
          <w:szCs w:val="22"/>
        </w:rPr>
        <w:t xml:space="preserve">64% des banques utilisent l'analyse du comportement historique pour définir la "normalité" et détecter les anomalies. HSBC a atteint 95% de satisfaction client avec sa biométrie vocale. Les incidents de fraude baissent de 66% dans les 12 mois suivant le déploiement biométrique.</w:t>
      </w:r>
    </w:p>
    <w:p>
      <w:pPr>
        <w:pStyle w:val="Heading2"/>
      </w:pPr>
      <w:r>
        <w:t xml:space="preserve">4.3 Détection Quantique et Cryptographie Post-Quantique</w:t>
      </w:r>
    </w:p>
    <w:p>
      <w:pPr>
        <w:spacing w:after="150"/>
      </w:pPr>
      <w:r>
        <w:rPr>
          <w:sz w:val="22"/>
          <w:szCs w:val="22"/>
        </w:rPr>
        <w:t xml:space="preserve">L'informatique quantique transforme à la fois l'attaque et la défense :</w:t>
      </w:r>
    </w:p>
    <w:p>
      <w:pPr>
        <w:pStyle w:val="ListParagraph"/>
        <w:numPr>
          <w:ilvl w:val="0"/>
          <w:numId w:val="2"/>
        </w:numPr>
        <w:spacing w:after="80"/>
      </w:pPr>
      <w:r>
        <w:rPr>
          <w:sz w:val="22"/>
          <w:szCs w:val="22"/>
        </w:rPr>
        <w:t xml:space="preserve">Quantum Machine Learning pour détecter des patterns de fraude invisibles aux algorithmes classiques
• Accélération de 200x de l'entraînement des modèles de détection (quantum annealing D-Wave)
• Cryptographie post-quantique (PQC) : HSBC a déployé des tunnels VPN résistants au quantique
• QRNG (Quantum Random Number Generation) pour sécuriser les transactions tokenisées</w:t>
      </w:r>
    </w:p>
    <w:p>
      <w:pPr>
        <w:spacing w:after="150"/>
      </w:pPr>
      <w:r>
        <w:rPr>
          <w:sz w:val="22"/>
          <w:szCs w:val="22"/>
        </w:rPr>
        <w:t xml:space="preserve">70% des banques mondiales transitionnent vers le chiffrement quantum-proof en 2025. Le projet HSBC avec Quantinuum couvre la cybersécurité, la détection de fraude et le NLP.</w:t>
      </w:r>
    </w:p>
    <w:p>
      <w:pPr>
        <w:pStyle w:val="Heading2"/>
      </w:pPr>
      <w:r>
        <w:t xml:space="preserve">4.4 Identité Décentralisée et Blockchain</w:t>
      </w:r>
    </w:p>
    <w:p>
      <w:pPr>
        <w:spacing w:after="150"/>
      </w:pPr>
      <w:r>
        <w:rPr>
          <w:sz w:val="22"/>
          <w:szCs w:val="22"/>
        </w:rPr>
        <w:t xml:space="preserve">L'identité auto-souveraine (SSI) sur blockchain va révolutionner la vérification :</w:t>
      </w:r>
    </w:p>
    <w:p>
      <w:pPr>
        <w:pStyle w:val="ListParagraph"/>
        <w:numPr>
          <w:ilvl w:val="0"/>
          <w:numId w:val="2"/>
        </w:numPr>
        <w:spacing w:after="80"/>
      </w:pPr>
      <w:r>
        <w:rPr>
          <w:sz w:val="22"/>
          <w:szCs w:val="22"/>
        </w:rPr>
        <w:t xml:space="preserve">L'utilisateur contrôle ses données biométriques, pas la banque
• Partage de données inter-institutions sans exposer les identifiants sensibles
• Traçabilité immuable de toutes les vérifications d'identité
• Standards ISO/IEC 30107-3 mis à jour pour inclure les protocoles de test deepfake</w:t>
      </w:r>
    </w:p>
    <w:p>
      <w:pPr>
        <w:spacing w:after="150"/>
      </w:pPr>
      <w:r>
        <w:rPr>
          <w:sz w:val="22"/>
          <w:szCs w:val="22"/>
        </w:rPr>
        <w:t xml:space="preserve">Microsoft Entra développe des identités blockchain permettant un contrôle total par l'utilisateur. Le watermarking obligatoire des médias synthétiques (California AB-730) se généralise.</w:t>
      </w:r>
    </w:p>
    <w:p>
      <w:r>
        <w:br w:type="page"/>
      </w:r>
    </w:p>
    <w:p>
      <w:pPr>
        <w:pStyle w:val="Heading1"/>
      </w:pPr>
      <w:r>
        <w:t xml:space="preserve">5. RÉGLEMENTAIRE : L'AUTOMATISATION COGNITIVE DE LA CONFORMITÉ</w:t>
      </w:r>
    </w:p>
    <w:p>
      <w:pPr>
        <w:shd w:fill="F0F5FA" w:val="clear"/>
        <w:spacing w:after="200"/>
      </w:pPr>
      <w:r>
        <w:rPr>
          <w:i/>
          <w:iCs/>
          <w:sz w:val="22"/>
          <w:szCs w:val="22"/>
        </w:rPr>
        <w:t xml:space="preserve">Le RegTech va passer de l'assistance humaine à l'autonomie quasi-totale, avec des agents IA capables d'interpréter, implémenter et surveiller la conformité en temps réel.</w:t>
      </w:r>
    </w:p>
    <w:p>
      <w:pPr>
        <w:pStyle w:val="Heading2"/>
      </w:pPr>
      <w:r>
        <w:t xml:space="preserve">5.1 Interprétation Automatique des Textes Réglementaires</w:t>
      </w:r>
    </w:p>
    <w:p>
      <w:pPr>
        <w:spacing w:after="150"/>
      </w:pPr>
      <w:r>
        <w:rPr>
          <w:sz w:val="22"/>
          <w:szCs w:val="22"/>
        </w:rPr>
        <w:t xml:space="preserve">Les LLM vont transformer la lecture réglementaire en code exécutable :</w:t>
      </w:r>
    </w:p>
    <w:p>
      <w:pPr>
        <w:pStyle w:val="ListParagraph"/>
        <w:numPr>
          <w:ilvl w:val="0"/>
          <w:numId w:val="2"/>
        </w:numPr>
        <w:spacing w:after="80"/>
      </w:pPr>
      <w:r>
        <w:rPr>
          <w:sz w:val="22"/>
          <w:szCs w:val="22"/>
        </w:rPr>
        <w:t xml:space="preserve">Text-to-code : traduction automatique des obligations réglementaires en règles métier
• Analyse sémantique des nouveaux textes : identification des impacts en quelques secondes vs semaines
• Comparaison automatique des versions : détection des changements significatifs
• Génération de contrôles techniques directement depuis le texte légal</w:t>
      </w:r>
    </w:p>
    <w:p>
      <w:pPr>
        <w:spacing w:after="150"/>
      </w:pPr>
      <w:r>
        <w:rPr>
          <w:sz w:val="22"/>
          <w:szCs w:val="22"/>
        </w:rPr>
        <w:t xml:space="preserve">L'étude compare les LLM open-source (Llama-2) aux propriétaires (GPT-4) pour la détection de non-conformité. Les modèles open-source excellent dans la détection, mais les propriétaires offrent plus de polyvalence multilingue. D'ici 2026, le délai de réponse aux RFI (Request for Information) passera de semaines à minutes.</w:t>
      </w:r>
    </w:p>
    <w:p>
      <w:pPr>
        <w:pStyle w:val="Heading2"/>
      </w:pPr>
      <w:r>
        <w:t xml:space="preserve">5.2 Surveillance Continue et Prédictive</w:t>
      </w:r>
    </w:p>
    <w:p>
      <w:pPr>
        <w:spacing w:after="150"/>
      </w:pPr>
      <w:r>
        <w:rPr>
          <w:sz w:val="22"/>
          <w:szCs w:val="22"/>
        </w:rPr>
        <w:t xml:space="preserve">La conformité va devenir proactive plutôt que réactive :</w:t>
      </w:r>
    </w:p>
    <w:p>
      <w:pPr>
        <w:pStyle w:val="ListParagraph"/>
        <w:numPr>
          <w:ilvl w:val="0"/>
          <w:numId w:val="2"/>
        </w:numPr>
        <w:spacing w:after="80"/>
      </w:pPr>
      <w:r>
        <w:rPr>
          <w:sz w:val="22"/>
          <w:szCs w:val="22"/>
        </w:rPr>
        <w:t xml:space="preserve">Monitoring temps réel de 100% des transactions vs échantillonnage
• Prédiction des violations AVANT qu'elles ne surviennent
• Alertes préventives : "Risque de non-conformité détecté dans 72h si tendance continue"
• Auto-génération des rapports réglementaires au format officiel</w:t>
      </w:r>
    </w:p>
    <w:p>
      <w:pPr>
        <w:spacing w:after="150"/>
      </w:pPr>
      <w:r>
        <w:rPr>
          <w:sz w:val="22"/>
          <w:szCs w:val="22"/>
        </w:rPr>
        <w:t xml:space="preserve">Barclays a réduit le temps de traitement documentaire de plusieurs jours à quelques minutes. JPMorgan maintient la conformité multi-juridictionnelle simultanément via son système blockchain. Le marché RegTech atteindra 82,8 milliards $ d'ici 2032.</w:t>
      </w:r>
    </w:p>
    <w:p>
      <w:pPr>
        <w:pStyle w:val="Heading2"/>
      </w:pPr>
      <w:r>
        <w:t xml:space="preserve">5.3 Compliance-as-a-Service (RaaS)</w:t>
      </w:r>
    </w:p>
    <w:p>
      <w:pPr>
        <w:spacing w:after="150"/>
      </w:pPr>
      <w:r>
        <w:rPr>
          <w:sz w:val="22"/>
          <w:szCs w:val="22"/>
        </w:rPr>
        <w:t xml:space="preserve">L'émergence du modèle SaaS pour la conformité va démocratiser l'accès :</w:t>
      </w:r>
    </w:p>
    <w:p>
      <w:pPr>
        <w:pStyle w:val="ListParagraph"/>
        <w:numPr>
          <w:ilvl w:val="0"/>
          <w:numId w:val="2"/>
        </w:numPr>
        <w:spacing w:after="80"/>
      </w:pPr>
      <w:r>
        <w:rPr>
          <w:sz w:val="22"/>
          <w:szCs w:val="22"/>
        </w:rPr>
        <w:t xml:space="preserve">Souscription modulaire aux capacités de conformité
• Mises à jour réglementaires automatiques sans investissement lourd
• Réduction de 50% des coûts de conformité pour les petites institutions
• APIs permettant l'intégration seamless avec les systèmes existants</w:t>
      </w:r>
    </w:p>
    <w:p>
      <w:pPr>
        <w:spacing w:after="150"/>
      </w:pPr>
      <w:r>
        <w:rPr>
          <w:sz w:val="22"/>
          <w:szCs w:val="22"/>
        </w:rPr>
        <w:t xml:space="preserve">4Crisk.ai propose déjà un modèle RaaS avec horizon scanning temps réel, évaluations d'impact automatisées et intégration API. Le "time-to-value" s'accélère considérablement.</w:t>
      </w:r>
    </w:p>
    <w:p>
      <w:pPr>
        <w:pStyle w:val="Heading2"/>
      </w:pPr>
      <w:r>
        <w:t xml:space="preserve">5.4 Gouvernance Autonome des Modèles IA</w:t>
      </w:r>
    </w:p>
    <w:p>
      <w:pPr>
        <w:spacing w:after="150"/>
      </w:pPr>
      <w:r>
        <w:rPr>
          <w:sz w:val="22"/>
          <w:szCs w:val="22"/>
        </w:rPr>
        <w:t xml:space="preserve">La conformité des modèles IA eux-mêmes devient un enjeu majeur :</w:t>
      </w:r>
    </w:p>
    <w:p>
      <w:pPr>
        <w:pStyle w:val="ListParagraph"/>
        <w:numPr>
          <w:ilvl w:val="0"/>
          <w:numId w:val="2"/>
        </w:numPr>
        <w:spacing w:after="80"/>
      </w:pPr>
      <w:r>
        <w:rPr>
          <w:sz w:val="22"/>
          <w:szCs w:val="22"/>
        </w:rPr>
        <w:t xml:space="preserve">"Know Your Machine" et "Know Your Agent" aux côtés du KYC traditionnel
• Audits automatiques de biais et d'équité (SHAP, LIME pour l'explicabilité)
• Traçabilité complète des décisions algorithmiques pour audit
• EU AI Act : évaluations de conformité tierces pour les systèmes à haut risque</w:t>
      </w:r>
    </w:p>
    <w:p>
      <w:pPr>
        <w:spacing w:after="150"/>
      </w:pPr>
      <w:r>
        <w:rPr>
          <w:sz w:val="22"/>
          <w:szCs w:val="22"/>
        </w:rPr>
        <w:t xml:space="preserve">IBM OpenPages with Watson devient la plateforme de référence pour la gouvernance IA, utilisée par Citi, Aviva, General Motors. Les métriques spécifiques IA (disparate impact ratio, drift monitoring) deviennent obligatoires.</w:t>
      </w:r>
    </w:p>
    <w:p>
      <w:r>
        <w:br w:type="page"/>
      </w:r>
    </w:p>
    <w:p>
      <w:pPr>
        <w:pStyle w:val="Heading1"/>
      </w:pPr>
      <w:r>
        <w:t xml:space="preserve">6. SERVICING BANCAIRE : L'ÈRE DE LA BANQUE INVISIBLE</w:t>
      </w:r>
    </w:p>
    <w:p>
      <w:pPr>
        <w:shd w:fill="F0F5FA" w:val="clear"/>
        <w:spacing w:after="200"/>
      </w:pPr>
      <w:r>
        <w:rPr>
          <w:i/>
          <w:iCs/>
          <w:sz w:val="22"/>
          <w:szCs w:val="22"/>
        </w:rPr>
        <w:t xml:space="preserve">Le servicing bancaire va évoluer vers une "banque invisible" où 60% de la vie financière sera gérée de manière autonome par des agents IA, sans intervention humaine.</w:t>
      </w:r>
    </w:p>
    <w:p>
      <w:pPr>
        <w:pStyle w:val="Heading2"/>
      </w:pPr>
      <w:r>
        <w:t xml:space="preserve">6.1 Trésorerie et Cash Management Autonomes</w:t>
      </w:r>
    </w:p>
    <w:p>
      <w:pPr>
        <w:spacing w:after="150"/>
      </w:pPr>
      <w:r>
        <w:rPr>
          <w:sz w:val="22"/>
          <w:szCs w:val="22"/>
        </w:rPr>
        <w:t xml:space="preserve">La gestion de trésorerie devient entièrement automatisée :</w:t>
      </w:r>
    </w:p>
    <w:p>
      <w:pPr>
        <w:pStyle w:val="ListParagraph"/>
        <w:numPr>
          <w:ilvl w:val="0"/>
          <w:numId w:val="2"/>
        </w:numPr>
        <w:spacing w:after="80"/>
      </w:pPr>
      <w:r>
        <w:rPr>
          <w:sz w:val="22"/>
          <w:szCs w:val="22"/>
        </w:rPr>
        <w:t xml:space="preserve">Optimisation automatique de la liquidité 24/7 sans intervention
• Couverture FX dynamique ajustée en temps réel selon les expositions
• Prévision de cash flow avec 90%+ de précision (déjà atteint par DBS)
• Exécution automatique des arbitrages entre comptes, devises, placements</w:t>
      </w:r>
    </w:p>
    <w:p>
      <w:pPr>
        <w:spacing w:after="150"/>
      </w:pPr>
      <w:r>
        <w:rPr>
          <w:sz w:val="22"/>
          <w:szCs w:val="22"/>
        </w:rPr>
        <w:t xml:space="preserve">Le "CFO Copilot" répond en langage naturel : "Comment ont évolué nos expositions FX ce trimestre ?" avec insights instantanés. Les décisions de trésorerie passeront de quotidiennes à temps réel.</w:t>
      </w:r>
    </w:p>
    <w:p>
      <w:pPr>
        <w:pStyle w:val="Heading2"/>
      </w:pPr>
      <w:r>
        <w:t xml:space="preserve">6.2 Onboarding et KYC Entièrement Digitaux</w:t>
      </w:r>
    </w:p>
    <w:p>
      <w:pPr>
        <w:spacing w:after="150"/>
      </w:pPr>
      <w:r>
        <w:rPr>
          <w:sz w:val="22"/>
          <w:szCs w:val="22"/>
        </w:rPr>
        <w:t xml:space="preserve">Le processus KYC va passer de 12 semaines à quelques minutes :</w:t>
      </w:r>
    </w:p>
    <w:p>
      <w:pPr>
        <w:pStyle w:val="ListParagraph"/>
        <w:numPr>
          <w:ilvl w:val="0"/>
          <w:numId w:val="2"/>
        </w:numPr>
        <w:spacing w:after="80"/>
      </w:pPr>
      <w:r>
        <w:rPr>
          <w:sz w:val="22"/>
          <w:szCs w:val="22"/>
        </w:rPr>
        <w:t xml:space="preserve">Vérification d'identité par IA + biométrie en temps réel
• Validation documentaire automatique avec OCR intelligent
• Scoring de risque AML calculé instantanément
• Mise à jour continue du profil client sans nouvelle collecte</w:t>
      </w:r>
    </w:p>
    <w:p>
      <w:pPr>
        <w:spacing w:after="150"/>
      </w:pPr>
      <w:r>
        <w:rPr>
          <w:sz w:val="22"/>
          <w:szCs w:val="22"/>
        </w:rPr>
        <w:t xml:space="preserve">JPMorgan a réduit les charges de vérification manuelle de 40% grâce à l'IA KYC. Les agents orchestrent des workflows multi-étapes : collecte → vérification → scoring → approbation en une seule session.</w:t>
      </w:r>
    </w:p>
    <w:p>
      <w:pPr>
        <w:pStyle w:val="Heading2"/>
      </w:pPr>
      <w:r>
        <w:t xml:space="preserve">6.3 Support Client Prédictif et Proactif</w:t>
      </w:r>
    </w:p>
    <w:p>
      <w:pPr>
        <w:spacing w:after="150"/>
      </w:pPr>
      <w:r>
        <w:rPr>
          <w:sz w:val="22"/>
          <w:szCs w:val="22"/>
        </w:rPr>
        <w:t xml:space="preserve">Le support ne réagit plus, il anticipe :</w:t>
      </w:r>
    </w:p>
    <w:p>
      <w:pPr>
        <w:pStyle w:val="ListParagraph"/>
        <w:numPr>
          <w:ilvl w:val="0"/>
          <w:numId w:val="2"/>
        </w:numPr>
        <w:spacing w:after="80"/>
      </w:pPr>
      <w:r>
        <w:rPr>
          <w:sz w:val="22"/>
          <w:szCs w:val="22"/>
        </w:rPr>
        <w:t xml:space="preserve">Détection des problèmes AVANT que le client ne les signale
• Contact proactif : "Nous avons détecté une anomalie sur votre compte, voici ce que nous avons fait"
• Résolution autonome des litiges standards sans escalade
• Personnalisation du canal et du timing de contact selon les préférences</w:t>
      </w:r>
    </w:p>
    <w:p>
      <w:pPr>
        <w:spacing w:after="150"/>
      </w:pPr>
      <w:r>
        <w:rPr>
          <w:sz w:val="22"/>
          <w:szCs w:val="22"/>
        </w:rPr>
        <w:t xml:space="preserve">Bank of America Erica réalise 2 millions d'interactions quotidiennes avec 98% de résolution autonome. 60% des interactions sont initiées par Erica (proactives), pas par le client.</w:t>
      </w:r>
    </w:p>
    <w:p>
      <w:pPr>
        <w:pStyle w:val="Heading2"/>
      </w:pPr>
      <w:r>
        <w:t xml:space="preserve">6.4 Argent Programmable et Smart Contracts</w:t>
      </w:r>
    </w:p>
    <w:p>
      <w:pPr>
        <w:spacing w:after="150"/>
      </w:pPr>
      <w:r>
        <w:rPr>
          <w:sz w:val="22"/>
          <w:szCs w:val="22"/>
        </w:rPr>
        <w:t xml:space="preserve">L'argent devient du code exécutable avec logique embarquée :</w:t>
      </w:r>
    </w:p>
    <w:p>
      <w:pPr>
        <w:pStyle w:val="ListParagraph"/>
        <w:numPr>
          <w:ilvl w:val="0"/>
          <w:numId w:val="2"/>
        </w:numPr>
        <w:spacing w:after="80"/>
      </w:pPr>
      <w:r>
        <w:rPr>
          <w:sz w:val="22"/>
          <w:szCs w:val="22"/>
        </w:rPr>
        <w:t xml:space="preserve">Paiements conditionnels : libération automatique à la livraison confirmée
• Réconciliation temps réel : plus de délais entre transactions et comptabilité
• Règles de conformité intégrées dans la transaction elle-même
• Audit trail immuable sur blockchain</w:t>
      </w:r>
    </w:p>
    <w:p>
      <w:pPr>
        <w:spacing w:after="150"/>
      </w:pPr>
      <w:r>
        <w:rPr>
          <w:sz w:val="22"/>
          <w:szCs w:val="22"/>
        </w:rPr>
        <w:t xml:space="preserve">Citi projette 100-140 000 milliards $ de volume de transactions en bank tokens d'ici 2030. JPM Coin, Digital Yuan, et autres deposit tokens intègrent "trusted programmability" : automatisation + garantie réglementaire. La compliance sera "embedded at the point of transaction".</w:t>
      </w:r>
    </w:p>
    <w:p>
      <w:r>
        <w:br w:type="page"/>
      </w:r>
    </w:p>
    <w:p>
      <w:pPr>
        <w:pStyle w:val="Heading1"/>
      </w:pPr>
      <w:r>
        <w:t xml:space="preserve">TABLEAU RÉCAPITULATIF DES USE CASES FUTURISTES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800"/>
        <w:gridCol w:w="1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b/>
                <w:bCs/>
                <w:color w:val="FFFFFF"/>
                <w:sz w:val="20"/>
                <w:szCs w:val="20"/>
              </w:rPr>
              <w:t xml:space="preserve">Domaine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b/>
                <w:bCs/>
                <w:color w:val="FFFFFF"/>
                <w:sz w:val="20"/>
                <w:szCs w:val="20"/>
              </w:rPr>
              <w:t xml:space="preserve">Use Case Futuriste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b/>
                <w:bCs/>
                <w:color w:val="FFFFFF"/>
                <w:sz w:val="20"/>
                <w:szCs w:val="20"/>
              </w:rPr>
              <w:t xml:space="preserve">Technologies Clés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b/>
                <w:bCs/>
                <w:color w:val="FFFFFF"/>
                <w:sz w:val="20"/>
                <w:szCs w:val="20"/>
              </w:rPr>
              <w:t xml:space="preserve">Horizon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Scoring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Score quantique multi-dimensionnel continu</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Quantum ML, Digital Twin, Psychométrie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2027-2029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Scoring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Prédiction des événements de vie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Deep Learning, Graph Analytics, Open Banking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2026-2028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Recommandation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Agent bancaire entièrement autonome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Agentic AI, Multi-Agent Orchestration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2027-2028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Recommandation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Finance embarquée invisible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Embedded Finance, APIs, IoT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2026-2027</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Conversations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Coach IA temps réel pour conseillers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NLP, Emotion AI, Conversational Intelligence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2025-2026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Conversations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Communication agent-à-agent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Multi-Agent Systems, LLM Orchestration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2028-2030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Fraude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Détection deepfake biométrique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PPG, GAN Detection, Liveness 3.0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2025-2027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Fraude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Identité décentralisée blockchain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SSI, DID, Post-Quantum Crypto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2027-2029</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Réglementaire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Text-to-code réglementaire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LLM, NLP, Automated Compliance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2026-2027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Réglementaire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Surveillance prédictive continue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ML, Real-time Analytics, RegTech-as-a-Service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2025-2027</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Servicing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Banque invisible autonome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Agentic AI, Digital Twin, IoT Integration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2028-2030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Servicing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Argent programmable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Smart Contracts, Tokenization, DLT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2027-2029</w:t>
            </w:r>
          </w:p>
        </w:tc>
      </w:tr>
    </w:tbl>
    <w:p>
      <w:r>
        <w:br w:type="page"/>
      </w:r>
    </w:p>
    <w:p>
      <w:pPr>
        <w:pStyle w:val="Heading1"/>
      </w:pPr>
      <w:r>
        <w:t xml:space="preserve">CONCLUSION : VERS LA BANQUE COGNITIVE AUTONOME</w:t>
      </w:r>
    </w:p>
    <w:p>
      <w:pPr>
        <w:spacing w:after="200"/>
      </w:pPr>
      <w:r>
        <w:rPr>
          <w:sz w:val="22"/>
          <w:szCs w:val="22"/>
        </w:rPr>
        <w:t xml:space="preserve">L'analyse approfondie de ces six domaines révèle une convergence technologique majeure vers une banque véritablement autonome et cognitive. Les évolutions clés à retenir :
1. SCORING : Le passage d'une évaluation statique ponctuelle à un score quantique continu intégrant des milliers de variables et prédisant les événements de vie transformera fondamentalement l'accès au crédit. L'informatique quantique permettra des simulations impossibles aujourd'hui.
2. RECOMMANDATION : L'IA agentique autonome va redéfinir la relation client. L'agent ne recommande plus, il AGIT proactivement. La finance devient "invisible", intégrée dans chaque moment de vie.
3. CONVERSATIONS : Chaque échange devient une source d'intelligence prédictive. Les conversations agrégées anticipent les tendances économiques. Les agents communiqueront entre eux pour servir les clients.
4. FRAUDE : La guerre IA vs IA nécessite des défenses multi-modales combinant biométrie comportementale, détection quantique et identité décentralisée. Les deepfakes représentent une menace existentielle nécessitant une vigilance permanente.
5. RÉGLEMENTAIRE : L'automatisation cognitive transforme la conformité d'un centre de coût en avantage compétitif. Les LLM traduisent automatiquement les textes en code exécutable.
6. SERVICING : La "banque invisible" gérera 60% de la vie financière de manière autonome d'ici 2030. L'argent programmable embarque les règles de conformité dans chaque transaction.
Les institutions qui embrasseront ces technologies de manière responsable, avec une gouvernance IA robuste et une attention constante à l'éthique et à la protection des données, gagneront un avantage compétitif durable. Celles qui tardent risquent de devenir obsolètes dans un monde où les clients attendent une expérience aussi fluide et personnalisée que celle offerte par Netflix ou Amazon.
Le défi n'est plus technologique mais organisationnel : comment transformer les cultures d'entreprise, les compétences et les processus pour exploiter pleinement ce potentiel transformationnel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Analyse Prospective Deep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Use Cases Futuristes IA Bancaire 2025-2030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2026-01-16T02:36:42.241Z</dcterms:created>
  <dcterms:modified xsi:type="dcterms:W3CDTF">2026-01-16T02:36:42.242Z</dcterms:modified>
</cp:coreProperties>
</file>

<file path=docProps/custom.xml><?xml version="1.0" encoding="utf-8"?>
<Properties xmlns="http://schemas.openxmlformats.org/officeDocument/2006/custom-properties" xmlns:vt="http://schemas.openxmlformats.org/officeDocument/2006/docPropsVTypes"/>
</file>