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100"/>
        <w:jc w:val="center"/>
      </w:pPr>
      <w:r>
        <w:rPr>
          <w:rFonts w:ascii="Arial" w:cs="Arial" w:eastAsia="Arial" w:hAnsi="Arial"/>
          <w:b/>
          <w:bCs/>
          <w:color w:val="2E5FA1"/>
          <w:sz w:val="28"/>
          <w:szCs w:val="28"/>
        </w:rPr>
        <w:t xml:space="preserve">PROJET ÉTUDIANT</w:t>
      </w:r>
    </w:p>
    <w:p>
      <w:pPr>
        <w:spacing w:after="80"/>
        <w:jc w:val="center"/>
      </w:pPr>
      <w:r>
        <w:rPr>
          <w:rFonts w:ascii="Arial" w:cs="Arial" w:eastAsia="Arial" w:hAnsi="Arial"/>
          <w:color w:val="B0C4DE"/>
          <w:sz w:val="20"/>
          <w:szCs w:val="20"/>
        </w:rPr>
        <w:t xml:space="preserve">────────────────────────────────────────</w:t>
      </w:r>
    </w:p>
    <w:p>
      <w:pPr>
        <w:spacing w:after="200"/>
        <w:jc w:val="center"/>
      </w:pPr>
      <w:r>
        <w:rPr>
          <w:rFonts w:ascii="Arial" w:cs="Arial" w:eastAsia="Arial" w:hAnsi="Arial"/>
          <w:b/>
          <w:bCs/>
          <w:color w:val="1B2A4A"/>
          <w:sz w:val="56"/>
          <w:szCs w:val="56"/>
        </w:rPr>
        <w:t xml:space="preserve">VoiceAdvisor</w:t>
      </w:r>
    </w:p>
    <w:p>
      <w:pPr>
        <w:spacing w:after="120"/>
        <w:jc w:val="center"/>
      </w:pPr>
      <w:r>
        <w:rPr>
          <w:rFonts w:ascii="Arial" w:cs="Arial" w:eastAsia="Arial" w:hAnsi="Arial"/>
          <w:color w:val="2E5FA1"/>
          <w:sz w:val="28"/>
          <w:szCs w:val="28"/>
        </w:rPr>
        <w:t xml:space="preserve">Service Client Bancaire Augmenté par Voice Cloning</w:t>
      </w:r>
    </w:p>
    <w:p>
      <w:pPr>
        <w:spacing w:after="60"/>
        <w:jc w:val="center"/>
      </w:pPr>
      <w:r>
        <w:rPr>
          <w:rFonts w:ascii="Arial" w:cs="Arial" w:eastAsia="Arial" w:hAnsi="Arial"/>
          <w:color w:val="666666"/>
          <w:sz w:val="22"/>
          <w:szCs w:val="22"/>
        </w:rPr>
        <w:t xml:space="preserve">Pipeline STT → RAG → TTS avec clonage vocal du conseiller</w:t>
      </w:r>
    </w:p>
    <w:p>
      <w:pPr>
        <w:spacing w:before="6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sz="0"/>
              <w:left w:val="none" w:sz="0"/>
              <w:bottom w:val="none" w:sz="0"/>
              <w:right w:val="none" w:sz="0"/>
            </w:tcBorders>
            <w:tcMar>
              <w:top w:type="dxa" w:w="60"/>
              <w:left w:type="dxa" w:w="120"/>
              <w:bottom w:type="dxa" w:w="60"/>
              <w:right w:type="dxa" w:w="80"/>
            </w:tcMar>
          </w:tcPr>
          <w:p>
            <w:pPr>
              <w:jc w:val="right"/>
            </w:pPr>
            <w:r>
              <w:rPr>
                <w:rFonts w:ascii="Arial" w:cs="Arial" w:eastAsia="Arial" w:hAnsi="Arial"/>
                <w:b/>
                <w:bCs/>
                <w:color w:val="1B2A4A"/>
                <w:sz w:val="20"/>
                <w:szCs w:val="20"/>
              </w:rPr>
              <w:t xml:space="preserve">Volume horaire</w:t>
            </w:r>
          </w:p>
        </w:tc>
        <w:tc>
          <w:tcPr>
            <w:tcW w:type="dxa" w:w="3800"/>
            <w:tcBorders>
              <w:top w:val="none" w:sz="0"/>
              <w:left w:val="single" w:color="2E5FA1" w:sz="2"/>
              <w:bottom w:val="none" w:sz="0"/>
              <w:right w:val="none" w:sz="0"/>
            </w:tcBorders>
            <w:tcMar>
              <w:top w:type="dxa" w:w="60"/>
              <w:left w:type="dxa" w:w="160"/>
              <w:bottom w:type="dxa" w:w="60"/>
              <w:right w:type="dxa" w:w="120"/>
            </w:tcMar>
          </w:tcPr>
          <w:p>
            <w:r>
              <w:rPr>
                <w:rFonts w:ascii="Arial" w:cs="Arial" w:eastAsia="Arial" w:hAnsi="Arial"/>
                <w:color w:val="444444"/>
                <w:sz w:val="20"/>
                <w:szCs w:val="20"/>
              </w:rPr>
              <w:t xml:space="preserve">70 heures (travail étudiant)</w:t>
            </w:r>
          </w:p>
        </w:tc>
      </w:tr>
      <w:tr>
        <w:tc>
          <w:tcPr>
            <w:tcW w:type="dxa" w:w="2200"/>
            <w:tcBorders>
              <w:top w:val="none" w:sz="0"/>
              <w:left w:val="none" w:sz="0"/>
              <w:bottom w:val="none" w:sz="0"/>
              <w:right w:val="none" w:sz="0"/>
            </w:tcBorders>
            <w:tcMar>
              <w:top w:type="dxa" w:w="60"/>
              <w:left w:type="dxa" w:w="120"/>
              <w:bottom w:type="dxa" w:w="60"/>
              <w:right w:type="dxa" w:w="80"/>
            </w:tcMar>
          </w:tcPr>
          <w:p>
            <w:pPr>
              <w:jc w:val="right"/>
            </w:pPr>
            <w:r>
              <w:rPr>
                <w:rFonts w:ascii="Arial" w:cs="Arial" w:eastAsia="Arial" w:hAnsi="Arial"/>
                <w:b/>
                <w:bCs/>
                <w:color w:val="1B2A4A"/>
                <w:sz w:val="20"/>
                <w:szCs w:val="20"/>
              </w:rPr>
              <w:t xml:space="preserve">Effectif</w:t>
            </w:r>
          </w:p>
        </w:tc>
        <w:tc>
          <w:tcPr>
            <w:tcW w:type="dxa" w:w="3800"/>
            <w:tcBorders>
              <w:top w:val="none" w:sz="0"/>
              <w:left w:val="single" w:color="2E5FA1" w:sz="2"/>
              <w:bottom w:val="none" w:sz="0"/>
              <w:right w:val="none" w:sz="0"/>
            </w:tcBorders>
            <w:tcMar>
              <w:top w:type="dxa" w:w="60"/>
              <w:left w:type="dxa" w:w="160"/>
              <w:bottom w:type="dxa" w:w="60"/>
              <w:right w:type="dxa" w:w="120"/>
            </w:tcMar>
          </w:tcPr>
          <w:p>
            <w:r>
              <w:rPr>
                <w:rFonts w:ascii="Arial" w:cs="Arial" w:eastAsia="Arial" w:hAnsi="Arial"/>
                <w:color w:val="444444"/>
                <w:sz w:val="20"/>
                <w:szCs w:val="20"/>
              </w:rPr>
              <w:t xml:space="preserve">Groupe de 3 à 4 étudiants</w:t>
            </w:r>
          </w:p>
        </w:tc>
      </w:tr>
      <w:tr>
        <w:tc>
          <w:tcPr>
            <w:tcW w:type="dxa" w:w="2200"/>
            <w:tcBorders>
              <w:top w:val="none" w:sz="0"/>
              <w:left w:val="none" w:sz="0"/>
              <w:bottom w:val="none" w:sz="0"/>
              <w:right w:val="none" w:sz="0"/>
            </w:tcBorders>
            <w:tcMar>
              <w:top w:type="dxa" w:w="60"/>
              <w:left w:type="dxa" w:w="120"/>
              <w:bottom w:type="dxa" w:w="60"/>
              <w:right w:type="dxa" w:w="80"/>
            </w:tcMar>
          </w:tcPr>
          <w:p>
            <w:pPr>
              <w:jc w:val="right"/>
            </w:pPr>
            <w:r>
              <w:rPr>
                <w:rFonts w:ascii="Arial" w:cs="Arial" w:eastAsia="Arial" w:hAnsi="Arial"/>
                <w:b/>
                <w:bCs/>
                <w:color w:val="1B2A4A"/>
                <w:sz w:val="20"/>
                <w:szCs w:val="20"/>
              </w:rPr>
              <w:t xml:space="preserve">Niveau</w:t>
            </w:r>
          </w:p>
        </w:tc>
        <w:tc>
          <w:tcPr>
            <w:tcW w:type="dxa" w:w="3800"/>
            <w:tcBorders>
              <w:top w:val="none" w:sz="0"/>
              <w:left w:val="single" w:color="2E5FA1" w:sz="2"/>
              <w:bottom w:val="none" w:sz="0"/>
              <w:right w:val="none" w:sz="0"/>
            </w:tcBorders>
            <w:tcMar>
              <w:top w:type="dxa" w:w="60"/>
              <w:left w:type="dxa" w:w="160"/>
              <w:bottom w:type="dxa" w:w="60"/>
              <w:right w:type="dxa" w:w="120"/>
            </w:tcMar>
          </w:tcPr>
          <w:p>
            <w:r>
              <w:rPr>
                <w:rFonts w:ascii="Arial" w:cs="Arial" w:eastAsia="Arial" w:hAnsi="Arial"/>
                <w:color w:val="444444"/>
                <w:sz w:val="20"/>
                <w:szCs w:val="20"/>
              </w:rPr>
              <w:t xml:space="preserve">M1 / M2 — Data Science, IA ou Génie Logiciel</w:t>
            </w:r>
          </w:p>
        </w:tc>
      </w:tr>
      <w:tr>
        <w:tc>
          <w:tcPr>
            <w:tcW w:type="dxa" w:w="2200"/>
            <w:tcBorders>
              <w:top w:val="none" w:sz="0"/>
              <w:left w:val="none" w:sz="0"/>
              <w:bottom w:val="none" w:sz="0"/>
              <w:right w:val="none" w:sz="0"/>
            </w:tcBorders>
            <w:tcMar>
              <w:top w:type="dxa" w:w="60"/>
              <w:left w:type="dxa" w:w="120"/>
              <w:bottom w:type="dxa" w:w="60"/>
              <w:right w:type="dxa" w:w="80"/>
            </w:tcMar>
          </w:tcPr>
          <w:p>
            <w:pPr>
              <w:jc w:val="right"/>
            </w:pPr>
            <w:r>
              <w:rPr>
                <w:rFonts w:ascii="Arial" w:cs="Arial" w:eastAsia="Arial" w:hAnsi="Arial"/>
                <w:b/>
                <w:bCs/>
                <w:color w:val="1B2A4A"/>
                <w:sz w:val="20"/>
                <w:szCs w:val="20"/>
              </w:rPr>
              <w:t xml:space="preserve">Domaine</w:t>
            </w:r>
          </w:p>
        </w:tc>
        <w:tc>
          <w:tcPr>
            <w:tcW w:type="dxa" w:w="3800"/>
            <w:tcBorders>
              <w:top w:val="none" w:sz="0"/>
              <w:left w:val="single" w:color="2E5FA1" w:sz="2"/>
              <w:bottom w:val="none" w:sz="0"/>
              <w:right w:val="none" w:sz="0"/>
            </w:tcBorders>
            <w:tcMar>
              <w:top w:type="dxa" w:w="60"/>
              <w:left w:type="dxa" w:w="160"/>
              <w:bottom w:type="dxa" w:w="60"/>
              <w:right w:type="dxa" w:w="120"/>
            </w:tcMar>
          </w:tcPr>
          <w:p>
            <w:r>
              <w:rPr>
                <w:rFonts w:ascii="Arial" w:cs="Arial" w:eastAsia="Arial" w:hAnsi="Arial"/>
                <w:color w:val="444444"/>
                <w:sz w:val="20"/>
                <w:szCs w:val="20"/>
              </w:rPr>
              <w:t xml:space="preserve">Banque de détail — Relation client augmentée</w:t>
            </w:r>
          </w:p>
        </w:tc>
      </w:tr>
      <w:tr>
        <w:tc>
          <w:tcPr>
            <w:tcW w:type="dxa" w:w="2200"/>
            <w:tcBorders>
              <w:top w:val="none" w:sz="0"/>
              <w:left w:val="none" w:sz="0"/>
              <w:bottom w:val="none" w:sz="0"/>
              <w:right w:val="none" w:sz="0"/>
            </w:tcBorders>
            <w:tcMar>
              <w:top w:type="dxa" w:w="60"/>
              <w:left w:type="dxa" w:w="120"/>
              <w:bottom w:type="dxa" w:w="60"/>
              <w:right w:type="dxa" w:w="80"/>
            </w:tcMar>
          </w:tcPr>
          <w:p>
            <w:pPr>
              <w:jc w:val="right"/>
            </w:pPr>
            <w:r>
              <w:rPr>
                <w:rFonts w:ascii="Arial" w:cs="Arial" w:eastAsia="Arial" w:hAnsi="Arial"/>
                <w:b/>
                <w:bCs/>
                <w:color w:val="1B2A4A"/>
                <w:sz w:val="20"/>
                <w:szCs w:val="20"/>
              </w:rPr>
              <w:t xml:space="preserve">Année académique</w:t>
            </w:r>
          </w:p>
        </w:tc>
        <w:tc>
          <w:tcPr>
            <w:tcW w:type="dxa" w:w="3800"/>
            <w:tcBorders>
              <w:top w:val="none" w:sz="0"/>
              <w:left w:val="single" w:color="2E5FA1" w:sz="2"/>
              <w:bottom w:val="none" w:sz="0"/>
              <w:right w:val="none" w:sz="0"/>
            </w:tcBorders>
            <w:tcMar>
              <w:top w:type="dxa" w:w="60"/>
              <w:left w:type="dxa" w:w="160"/>
              <w:bottom w:type="dxa" w:w="60"/>
              <w:right w:type="dxa" w:w="120"/>
            </w:tcMar>
          </w:tcPr>
          <w:p>
            <w:r>
              <w:rPr>
                <w:rFonts w:ascii="Arial" w:cs="Arial" w:eastAsia="Arial" w:hAnsi="Arial"/>
                <w:color w:val="444444"/>
                <w:sz w:val="20"/>
                <w:szCs w:val="20"/>
              </w:rPr>
              <w:t xml:space="preserve">2025 – 2026</w:t>
            </w:r>
          </w:p>
        </w:tc>
      </w:tr>
    </w:tbl>
    <w:p>
      <w:r>
        <w:br w:type="page"/>
      </w:r>
    </w:p>
    <w:p>
      <w:pPr>
        <w:pStyle w:val="Heading1"/>
        <w:spacing w:before="360" w:after="200"/>
      </w:pPr>
      <w:r>
        <w:rPr>
          <w:rFonts w:ascii="Arial" w:cs="Arial" w:eastAsia="Arial" w:hAnsi="Arial"/>
          <w:b/>
          <w:bCs/>
          <w:color w:val="1B2A4A"/>
          <w:sz w:val="32"/>
          <w:szCs w:val="32"/>
        </w:rPr>
        <w:t xml:space="preserve">Table des matières</w:t>
      </w:r>
    </w:p>
    <w:p>
      <w:pPr>
        <w:spacing w:before="60" w:after="60"/>
      </w:pPr>
      <w:r>
        <w:rPr>
          <w:rFonts w:ascii="Arial" w:cs="Arial" w:eastAsia="Arial" w:hAnsi="Arial"/>
          <w:color w:val="1B2A4A"/>
          <w:sz w:val="22"/>
          <w:szCs w:val="22"/>
        </w:rPr>
        <w:t xml:space="preserve">1.  Contexte et problématique</w:t>
      </w:r>
    </w:p>
    <w:p>
      <w:pPr>
        <w:spacing w:before="60" w:after="60"/>
      </w:pPr>
      <w:r>
        <w:rPr>
          <w:rFonts w:ascii="Arial" w:cs="Arial" w:eastAsia="Arial" w:hAnsi="Arial"/>
          <w:color w:val="1B2A4A"/>
          <w:sz w:val="22"/>
          <w:szCs w:val="22"/>
        </w:rPr>
        <w:t xml:space="preserve">2.  Objectifs pédagogiques</w:t>
      </w:r>
    </w:p>
    <w:p>
      <w:pPr>
        <w:spacing w:before="60" w:after="60"/>
      </w:pPr>
      <w:r>
        <w:rPr>
          <w:rFonts w:ascii="Arial" w:cs="Arial" w:eastAsia="Arial" w:hAnsi="Arial"/>
          <w:color w:val="1B2A4A"/>
          <w:sz w:val="22"/>
          <w:szCs w:val="22"/>
        </w:rPr>
        <w:t xml:space="preserve">3.  Périmètre fonctionnel et scénario d’usage</w:t>
      </w:r>
    </w:p>
    <w:p>
      <w:pPr>
        <w:spacing w:before="60" w:after="60"/>
      </w:pPr>
      <w:r>
        <w:rPr>
          <w:rFonts w:ascii="Arial" w:cs="Arial" w:eastAsia="Arial" w:hAnsi="Arial"/>
          <w:color w:val="1B2A4A"/>
          <w:sz w:val="22"/>
          <w:szCs w:val="22"/>
        </w:rPr>
        <w:t xml:space="preserve">4.  Architecture technique</w:t>
      </w:r>
    </w:p>
    <w:p>
      <w:pPr>
        <w:spacing w:before="60" w:after="60"/>
      </w:pPr>
      <w:r>
        <w:rPr>
          <w:rFonts w:ascii="Arial" w:cs="Arial" w:eastAsia="Arial" w:hAnsi="Arial"/>
          <w:color w:val="1B2A4A"/>
          <w:sz w:val="22"/>
          <w:szCs w:val="22"/>
        </w:rPr>
        <w:t xml:space="preserve">5.  Stack technologique</w:t>
      </w:r>
    </w:p>
    <w:p>
      <w:pPr>
        <w:spacing w:before="60" w:after="60"/>
      </w:pPr>
      <w:r>
        <w:rPr>
          <w:rFonts w:ascii="Arial" w:cs="Arial" w:eastAsia="Arial" w:hAnsi="Arial"/>
          <w:color w:val="1B2A4A"/>
          <w:sz w:val="22"/>
          <w:szCs w:val="22"/>
        </w:rPr>
        <w:t xml:space="preserve">6.  Détail des modules</w:t>
      </w:r>
    </w:p>
    <w:p>
      <w:pPr>
        <w:spacing w:before="60" w:after="60"/>
      </w:pPr>
      <w:r>
        <w:rPr>
          <w:rFonts w:ascii="Arial" w:cs="Arial" w:eastAsia="Arial" w:hAnsi="Arial"/>
          <w:color w:val="1B2A4A"/>
          <w:sz w:val="22"/>
          <w:szCs w:val="22"/>
        </w:rPr>
        <w:t xml:space="preserve">7.  Planning détaillé sur 70 heures</w:t>
      </w:r>
    </w:p>
    <w:p>
      <w:pPr>
        <w:spacing w:before="60" w:after="60"/>
      </w:pPr>
      <w:r>
        <w:rPr>
          <w:rFonts w:ascii="Arial" w:cs="Arial" w:eastAsia="Arial" w:hAnsi="Arial"/>
          <w:color w:val="1B2A4A"/>
          <w:sz w:val="22"/>
          <w:szCs w:val="22"/>
        </w:rPr>
        <w:t xml:space="preserve">8.  Livrables attendus</w:t>
      </w:r>
    </w:p>
    <w:p>
      <w:pPr>
        <w:spacing w:before="60" w:after="60"/>
      </w:pPr>
      <w:r>
        <w:rPr>
          <w:rFonts w:ascii="Arial" w:cs="Arial" w:eastAsia="Arial" w:hAnsi="Arial"/>
          <w:color w:val="1B2A4A"/>
          <w:sz w:val="22"/>
          <w:szCs w:val="22"/>
        </w:rPr>
        <w:t xml:space="preserve">9.  Critères d’évaluation et barème</w:t>
      </w:r>
    </w:p>
    <w:p>
      <w:pPr>
        <w:spacing w:before="60" w:after="60"/>
      </w:pPr>
      <w:r>
        <w:rPr>
          <w:rFonts w:ascii="Arial" w:cs="Arial" w:eastAsia="Arial" w:hAnsi="Arial"/>
          <w:color w:val="1B2A4A"/>
          <w:sz w:val="22"/>
          <w:szCs w:val="22"/>
        </w:rPr>
        <w:t xml:space="preserve">10.  Considérations éthiques et réglementaires</w:t>
      </w:r>
    </w:p>
    <w:p>
      <w:pPr>
        <w:spacing w:before="60" w:after="60"/>
      </w:pPr>
      <w:r>
        <w:rPr>
          <w:rFonts w:ascii="Arial" w:cs="Arial" w:eastAsia="Arial" w:hAnsi="Arial"/>
          <w:color w:val="1B2A4A"/>
          <w:sz w:val="22"/>
          <w:szCs w:val="22"/>
        </w:rPr>
        <w:t xml:space="preserve">11.  Extensions et pistes d’amélioration</w:t>
      </w:r>
    </w:p>
    <w:p>
      <w:pPr>
        <w:spacing w:before="60" w:after="60"/>
      </w:pPr>
      <w:r>
        <w:rPr>
          <w:rFonts w:ascii="Arial" w:cs="Arial" w:eastAsia="Arial" w:hAnsi="Arial"/>
          <w:color w:val="1B2A4A"/>
          <w:sz w:val="22"/>
          <w:szCs w:val="22"/>
        </w:rPr>
        <w:t xml:space="preserve">12.  Ressources et références</w:t>
      </w:r>
    </w:p>
    <w:p>
      <w:r>
        <w:br w:type="page"/>
      </w:r>
    </w:p>
    <w:p>
      <w:pPr>
        <w:pStyle w:val="Heading1"/>
        <w:spacing w:before="360" w:after="200"/>
      </w:pPr>
      <w:r>
        <w:rPr>
          <w:rFonts w:ascii="Arial" w:cs="Arial" w:eastAsia="Arial" w:hAnsi="Arial"/>
          <w:b/>
          <w:bCs/>
          <w:color w:val="1B2A4A"/>
          <w:sz w:val="32"/>
          <w:szCs w:val="32"/>
        </w:rPr>
        <w:t xml:space="preserve">1. Contexte et problématique</w:t>
      </w:r>
    </w:p>
    <w:p>
      <w:pPr>
        <w:pStyle w:val="Heading2"/>
        <w:spacing w:before="280" w:after="160"/>
      </w:pPr>
      <w:r>
        <w:rPr>
          <w:rFonts w:ascii="Arial" w:cs="Arial" w:eastAsia="Arial" w:hAnsi="Arial"/>
          <w:b/>
          <w:bCs/>
          <w:color w:val="2E5FA1"/>
          <w:sz w:val="26"/>
          <w:szCs w:val="26"/>
        </w:rPr>
        <w:t xml:space="preserve">1.1  Le défi de la relation client en banque de détail</w:t>
      </w:r>
    </w:p>
    <w:p>
      <w:pPr>
        <w:spacing w:before="80" w:after="80" w:line="276"/>
        <w:jc w:val="both"/>
      </w:pPr>
      <w:r>
        <w:rPr>
          <w:rFonts w:ascii="Arial" w:cs="Arial" w:eastAsia="Arial" w:hAnsi="Arial"/>
          <w:color w:val="333333"/>
          <w:sz w:val="21"/>
          <w:szCs w:val="21"/>
        </w:rPr>
        <w:t xml:space="preserve">La banque de détail fait face à une transformation profonde de la relation client. La fréquentation des agences physiques diminue, les clients privilégiant les canaux numériques, et les conseillers bancaires gèrent des portefeuilles de plus en plus importants, parfois plus de 800 clients par conseiller. Dans ce contexte, le temps de réponse et la qualité de l’accompagnement deviennent des enjeux concurrentiels majeurs.</w:t>
      </w:r>
    </w:p>
    <w:p>
      <w:pPr>
        <w:spacing w:before="80" w:after="80" w:line="276"/>
        <w:jc w:val="both"/>
      </w:pPr>
      <w:r>
        <w:rPr>
          <w:rFonts w:ascii="Arial" w:cs="Arial" w:eastAsia="Arial" w:hAnsi="Arial"/>
          <w:color w:val="333333"/>
          <w:sz w:val="21"/>
          <w:szCs w:val="21"/>
        </w:rPr>
        <w:t xml:space="preserve">Parallèlement, les clients expriment un besoin croissant de réponses rapides, personnalisées et accessibles à tout moment. Les chatbots textuels classiques, souvent perçus comme impersonnels et limités, ne répondent que partiellement à cette attente. Le canal vocal, plus naturel et inclusif, reste largement sous-exploité dans les dispositifs digitaux bancaires.</w:t>
      </w:r>
    </w:p>
    <w:p>
      <w:pPr>
        <w:pStyle w:val="Heading2"/>
        <w:spacing w:before="280" w:after="160"/>
      </w:pPr>
      <w:r>
        <w:rPr>
          <w:rFonts w:ascii="Arial" w:cs="Arial" w:eastAsia="Arial" w:hAnsi="Arial"/>
          <w:b/>
          <w:bCs/>
          <w:color w:val="2E5FA1"/>
          <w:sz w:val="26"/>
          <w:szCs w:val="26"/>
        </w:rPr>
        <w:t xml:space="preserve">1.2  L’opportunité de l’IA générative vocale</w:t>
      </w:r>
    </w:p>
    <w:p>
      <w:pPr>
        <w:spacing w:before="80" w:after="80" w:line="276"/>
        <w:jc w:val="both"/>
      </w:pPr>
      <w:r>
        <w:rPr>
          <w:rFonts w:ascii="Arial" w:cs="Arial" w:eastAsia="Arial" w:hAnsi="Arial"/>
          <w:color w:val="333333"/>
          <w:sz w:val="21"/>
          <w:szCs w:val="21"/>
        </w:rPr>
        <w:t xml:space="preserve">Les avancées récentes en intelligence artificielle générative ouvrent de nouvelles perspectives. La combinaison de trois technologies clés — transcription vocale automatique (STT), génération augmentée par récupération d’information (RAG) et synthèse vocale par clonage (TTS) — permet d’envisager un assistant vocal qui répond avec la voix même du conseiller attiré du client, créant ainsi une continuité relationnelle inédite.</w:t>
      </w:r>
    </w:p>
    <w:p>
      <w:pPr>
        <w:pStyle w:val="Heading2"/>
        <w:spacing w:before="280" w:after="160"/>
      </w:pPr>
      <w:r>
        <w:rPr>
          <w:rFonts w:ascii="Arial" w:cs="Arial" w:eastAsia="Arial" w:hAnsi="Arial"/>
          <w:b/>
          <w:bCs/>
          <w:color w:val="2E5FA1"/>
          <w:sz w:val="26"/>
          <w:szCs w:val="26"/>
        </w:rPr>
        <w:t xml:space="preserve">1.3  Positionnement du projet</w:t>
      </w:r>
    </w:p>
    <w:p>
      <w:pPr>
        <w:spacing w:before="80" w:after="80" w:line="276"/>
        <w:jc w:val="both"/>
      </w:pPr>
      <w:r>
        <w:rPr>
          <w:rFonts w:ascii="Arial" w:cs="Arial" w:eastAsia="Arial" w:hAnsi="Arial"/>
          <w:color w:val="333333"/>
          <w:sz w:val="21"/>
          <w:szCs w:val="21"/>
        </w:rPr>
        <w:t xml:space="preserve">Ce projet étudiant propose de concevoir et de prototyper un service client bancaire augmenté par le voice cloning. Le client envoie un message vocal via une application, le système transcrit la question, interroge une base de connaissances bancaire, génère une réponse contextualisée, puis la restitue avec la voix clonée du conseiller. Le conseiller conserve un rôle de supervision via un tableau de bord de validation.</w:t>
      </w:r>
    </w:p>
    <w:p>
      <w:r>
        <w:br w:type="page"/>
      </w:r>
    </w:p>
    <w:p>
      <w:pPr>
        <w:pStyle w:val="Heading1"/>
        <w:spacing w:before="360" w:after="200"/>
      </w:pPr>
      <w:r>
        <w:rPr>
          <w:rFonts w:ascii="Arial" w:cs="Arial" w:eastAsia="Arial" w:hAnsi="Arial"/>
          <w:b/>
          <w:bCs/>
          <w:color w:val="1B2A4A"/>
          <w:sz w:val="32"/>
          <w:szCs w:val="32"/>
        </w:rPr>
        <w:t xml:space="preserve">2. Objectifs pédagogiques</w:t>
      </w:r>
    </w:p>
    <w:p>
      <w:pPr>
        <w:spacing w:before="80" w:after="80" w:line="276"/>
        <w:jc w:val="both"/>
      </w:pPr>
      <w:r>
        <w:rPr>
          <w:rFonts w:ascii="Arial" w:cs="Arial" w:eastAsia="Arial" w:hAnsi="Arial"/>
          <w:color w:val="333333"/>
          <w:sz w:val="21"/>
          <w:szCs w:val="21"/>
        </w:rPr>
        <w:t xml:space="preserve">Ce projet permet aux étudiants de développer des compétences transversales couvrant l’ensemble du cycle de vie d’une application d’IA appliquée à un cas métier concret.</w:t>
      </w:r>
    </w:p>
    <w:p>
      <w:pPr>
        <w:pStyle w:val="Heading2"/>
        <w:spacing w:before="280" w:after="160"/>
      </w:pPr>
      <w:r>
        <w:rPr>
          <w:rFonts w:ascii="Arial" w:cs="Arial" w:eastAsia="Arial" w:hAnsi="Arial"/>
          <w:b/>
          <w:bCs/>
          <w:color w:val="2E5FA1"/>
          <w:sz w:val="26"/>
          <w:szCs w:val="26"/>
        </w:rPr>
        <w:t xml:space="preserve">2.1  Compétences techniques</w:t>
      </w:r>
    </w:p>
    <w:p>
      <w:pPr>
        <w:pStyle w:val="ListParagraph"/>
        <w:numPr>
          <w:ilvl w:val="0"/>
          <w:numId w:val="2"/>
        </w:numPr>
        <w:spacing w:before="40" w:after="40" w:line="276"/>
      </w:pPr>
      <w:r>
        <w:rPr>
          <w:rFonts w:ascii="Arial" w:cs="Arial" w:eastAsia="Arial" w:hAnsi="Arial"/>
          <w:b/>
          <w:bCs/>
          <w:color w:val="333333"/>
          <w:sz w:val="21"/>
          <w:szCs w:val="21"/>
        </w:rPr>
        <w:t xml:space="preserve">Maîtriser un pipeline d’IA vocale de bout en bout : </w:t>
      </w:r>
      <w:r>
        <w:rPr>
          <w:rFonts w:ascii="Arial" w:cs="Arial" w:eastAsia="Arial" w:hAnsi="Arial"/>
          <w:color w:val="333333"/>
          <w:sz w:val="21"/>
          <w:szCs w:val="21"/>
        </w:rPr>
        <w:t xml:space="preserve">intégrer STT, RAG et TTS dans une architecture cohérente avec gestion des flux audio.</w:t>
      </w:r>
    </w:p>
    <w:p>
      <w:pPr>
        <w:pStyle w:val="ListParagraph"/>
        <w:numPr>
          <w:ilvl w:val="0"/>
          <w:numId w:val="2"/>
        </w:numPr>
        <w:spacing w:before="40" w:after="40" w:line="276"/>
      </w:pPr>
      <w:r>
        <w:rPr>
          <w:rFonts w:ascii="Arial" w:cs="Arial" w:eastAsia="Arial" w:hAnsi="Arial"/>
          <w:b/>
          <w:bCs/>
          <w:color w:val="333333"/>
          <w:sz w:val="21"/>
          <w:szCs w:val="21"/>
        </w:rPr>
        <w:t xml:space="preserve">Implémenter un système RAG : </w:t>
      </w:r>
      <w:r>
        <w:rPr>
          <w:rFonts w:ascii="Arial" w:cs="Arial" w:eastAsia="Arial" w:hAnsi="Arial"/>
          <w:color w:val="333333"/>
          <w:sz w:val="21"/>
          <w:szCs w:val="21"/>
        </w:rPr>
        <w:t xml:space="preserve">indexer une base documentaire métier, gérer les embeddings multilingues, et orchestrer la génération via un LLM.</w:t>
      </w:r>
    </w:p>
    <w:p>
      <w:pPr>
        <w:pStyle w:val="ListParagraph"/>
        <w:numPr>
          <w:ilvl w:val="0"/>
          <w:numId w:val="2"/>
        </w:numPr>
        <w:spacing w:before="40" w:after="40" w:line="276"/>
      </w:pPr>
      <w:r>
        <w:rPr>
          <w:rFonts w:ascii="Arial" w:cs="Arial" w:eastAsia="Arial" w:hAnsi="Arial"/>
          <w:b/>
          <w:bCs/>
          <w:color w:val="333333"/>
          <w:sz w:val="21"/>
          <w:szCs w:val="21"/>
        </w:rPr>
        <w:t xml:space="preserve">Expérimenter le voice cloning : </w:t>
      </w:r>
      <w:r>
        <w:rPr>
          <w:rFonts w:ascii="Arial" w:cs="Arial" w:eastAsia="Arial" w:hAnsi="Arial"/>
          <w:color w:val="333333"/>
          <w:sz w:val="21"/>
          <w:szCs w:val="21"/>
        </w:rPr>
        <w:t xml:space="preserve">comprendre les modèles de synthèse vocale, réaliser un clonage à partir d’échantillons réduits et évaluer la qualité.</w:t>
      </w:r>
    </w:p>
    <w:p>
      <w:pPr>
        <w:pStyle w:val="ListParagraph"/>
        <w:numPr>
          <w:ilvl w:val="0"/>
          <w:numId w:val="2"/>
        </w:numPr>
        <w:spacing w:before="40" w:after="40" w:line="276"/>
      </w:pPr>
      <w:r>
        <w:rPr>
          <w:rFonts w:ascii="Arial" w:cs="Arial" w:eastAsia="Arial" w:hAnsi="Arial"/>
          <w:b/>
          <w:bCs/>
          <w:color w:val="333333"/>
          <w:sz w:val="21"/>
          <w:szCs w:val="21"/>
        </w:rPr>
        <w:t xml:space="preserve">Développer une API asynchrone : </w:t>
      </w:r>
      <w:r>
        <w:rPr>
          <w:rFonts w:ascii="Arial" w:cs="Arial" w:eastAsia="Arial" w:hAnsi="Arial"/>
          <w:color w:val="333333"/>
          <w:sz w:val="21"/>
          <w:szCs w:val="21"/>
        </w:rPr>
        <w:t xml:space="preserve">concevoir un backend performant capable de traiter des requêtes audio avec des temps de réponse acceptables.</w:t>
      </w:r>
    </w:p>
    <w:p>
      <w:pPr>
        <w:pStyle w:val="Heading2"/>
        <w:spacing w:before="280" w:after="160"/>
      </w:pPr>
      <w:r>
        <w:rPr>
          <w:rFonts w:ascii="Arial" w:cs="Arial" w:eastAsia="Arial" w:hAnsi="Arial"/>
          <w:b/>
          <w:bCs/>
          <w:color w:val="2E5FA1"/>
          <w:sz w:val="26"/>
          <w:szCs w:val="26"/>
        </w:rPr>
        <w:t xml:space="preserve">2.2  Compétences transversales</w:t>
      </w:r>
    </w:p>
    <w:p>
      <w:pPr>
        <w:pStyle w:val="ListParagraph"/>
        <w:numPr>
          <w:ilvl w:val="0"/>
          <w:numId w:val="3"/>
        </w:numPr>
        <w:spacing w:before="40" w:after="40" w:line="276"/>
      </w:pPr>
      <w:r>
        <w:rPr>
          <w:rFonts w:ascii="Arial" w:cs="Arial" w:eastAsia="Arial" w:hAnsi="Arial"/>
          <w:b/>
          <w:bCs/>
          <w:color w:val="333333"/>
          <w:sz w:val="21"/>
          <w:szCs w:val="21"/>
        </w:rPr>
        <w:t xml:space="preserve">Analyser un besoin métier : </w:t>
      </w:r>
      <w:r>
        <w:rPr>
          <w:rFonts w:ascii="Arial" w:cs="Arial" w:eastAsia="Arial" w:hAnsi="Arial"/>
          <w:color w:val="333333"/>
          <w:sz w:val="21"/>
          <w:szCs w:val="21"/>
        </w:rPr>
        <w:t xml:space="preserve">comprendre les enjeux de la relation client bancaire et traduire un besoin fonctionnel en spécifications techniques.</w:t>
      </w:r>
    </w:p>
    <w:p>
      <w:pPr>
        <w:pStyle w:val="ListParagraph"/>
        <w:numPr>
          <w:ilvl w:val="0"/>
          <w:numId w:val="3"/>
        </w:numPr>
        <w:spacing w:before="40" w:after="40" w:line="276"/>
      </w:pPr>
      <w:r>
        <w:rPr>
          <w:rFonts w:ascii="Arial" w:cs="Arial" w:eastAsia="Arial" w:hAnsi="Arial"/>
          <w:b/>
          <w:bCs/>
          <w:color w:val="333333"/>
          <w:sz w:val="21"/>
          <w:szCs w:val="21"/>
        </w:rPr>
        <w:t xml:space="preserve">Travailler en équipe agile : </w:t>
      </w:r>
      <w:r>
        <w:rPr>
          <w:rFonts w:ascii="Arial" w:cs="Arial" w:eastAsia="Arial" w:hAnsi="Arial"/>
          <w:color w:val="333333"/>
          <w:sz w:val="21"/>
          <w:szCs w:val="21"/>
        </w:rPr>
        <w:t xml:space="preserve">organiser le travail en sprints, répartir les rôles, gérer un dépôt Git collaboratif.</w:t>
      </w:r>
    </w:p>
    <w:p>
      <w:pPr>
        <w:pStyle w:val="ListParagraph"/>
        <w:numPr>
          <w:ilvl w:val="0"/>
          <w:numId w:val="3"/>
        </w:numPr>
        <w:spacing w:before="40" w:after="40" w:line="276"/>
      </w:pPr>
      <w:r>
        <w:rPr>
          <w:rFonts w:ascii="Arial" w:cs="Arial" w:eastAsia="Arial" w:hAnsi="Arial"/>
          <w:b/>
          <w:bCs/>
          <w:color w:val="333333"/>
          <w:sz w:val="21"/>
          <w:szCs w:val="21"/>
        </w:rPr>
        <w:t xml:space="preserve">Intégrer les enjeux éthiques : </w:t>
      </w:r>
      <w:r>
        <w:rPr>
          <w:rFonts w:ascii="Arial" w:cs="Arial" w:eastAsia="Arial" w:hAnsi="Arial"/>
          <w:color w:val="333333"/>
          <w:sz w:val="21"/>
          <w:szCs w:val="21"/>
        </w:rPr>
        <w:t xml:space="preserve">traiter les questions de consentement, de transparence, de RGPD et de biais algorithmique dans un contexte réglementé.</w:t>
      </w:r>
    </w:p>
    <w:p>
      <w:pPr>
        <w:pStyle w:val="ListParagraph"/>
        <w:numPr>
          <w:ilvl w:val="0"/>
          <w:numId w:val="3"/>
        </w:numPr>
        <w:spacing w:before="40" w:after="40" w:line="276"/>
      </w:pPr>
      <w:r>
        <w:rPr>
          <w:rFonts w:ascii="Arial" w:cs="Arial" w:eastAsia="Arial" w:hAnsi="Arial"/>
          <w:b/>
          <w:bCs/>
          <w:color w:val="333333"/>
          <w:sz w:val="21"/>
          <w:szCs w:val="21"/>
        </w:rPr>
        <w:t xml:space="preserve">Documenter et présenter : </w:t>
      </w:r>
      <w:r>
        <w:rPr>
          <w:rFonts w:ascii="Arial" w:cs="Arial" w:eastAsia="Arial" w:hAnsi="Arial"/>
          <w:color w:val="333333"/>
          <w:sz w:val="21"/>
          <w:szCs w:val="21"/>
        </w:rPr>
        <w:t xml:space="preserve">rédiger un rapport technique structuré et réaliser une démonstration convaincante.</w:t>
      </w:r>
    </w:p>
    <w:p>
      <w:r>
        <w:br w:type="page"/>
      </w:r>
    </w:p>
    <w:p>
      <w:pPr>
        <w:pStyle w:val="Heading1"/>
        <w:spacing w:before="360" w:after="200"/>
      </w:pPr>
      <w:r>
        <w:rPr>
          <w:rFonts w:ascii="Arial" w:cs="Arial" w:eastAsia="Arial" w:hAnsi="Arial"/>
          <w:b/>
          <w:bCs/>
          <w:color w:val="1B2A4A"/>
          <w:sz w:val="32"/>
          <w:szCs w:val="32"/>
        </w:rPr>
        <w:t xml:space="preserve">3. Périmètre fonctionnel et scénario d’usage</w:t>
      </w:r>
    </w:p>
    <w:p>
      <w:pPr>
        <w:pStyle w:val="Heading2"/>
        <w:spacing w:before="280" w:after="160"/>
      </w:pPr>
      <w:r>
        <w:rPr>
          <w:rFonts w:ascii="Arial" w:cs="Arial" w:eastAsia="Arial" w:hAnsi="Arial"/>
          <w:b/>
          <w:bCs/>
          <w:color w:val="2E5FA1"/>
          <w:sz w:val="26"/>
          <w:szCs w:val="26"/>
        </w:rPr>
        <w:t xml:space="preserve">3.1  Scénario principal</w:t>
      </w:r>
    </w:p>
    <w:p>
      <w:pPr>
        <w:spacing w:before="80" w:after="80" w:line="276"/>
        <w:jc w:val="both"/>
      </w:pPr>
      <w:r>
        <w:rPr>
          <w:rFonts w:ascii="Arial" w:cs="Arial" w:eastAsia="Arial" w:hAnsi="Arial"/>
          <w:color w:val="333333"/>
          <w:sz w:val="21"/>
          <w:szCs w:val="21"/>
        </w:rPr>
        <w:t xml:space="preserve">Le scénario illustratif suivant décrit le flux complet du système :</w:t>
      </w:r>
    </w:p>
    <w:p>
      <w:pPr>
        <w:pStyle w:val="ListParagraph"/>
        <w:numPr>
          <w:ilvl w:val="0"/>
          <w:numId w:val="4"/>
        </w:numPr>
        <w:spacing w:before="40" w:after="40" w:line="276"/>
      </w:pPr>
      <w:r>
        <w:rPr>
          <w:rFonts w:ascii="Arial" w:cs="Arial" w:eastAsia="Arial" w:hAnsi="Arial"/>
          <w:color w:val="333333"/>
          <w:sz w:val="21"/>
          <w:szCs w:val="21"/>
        </w:rPr>
        <w:t xml:space="preserve">Le client ouvre l’application mobile et enregistre un message vocal : « Bonjour, je voudrais savoir si je peux augmenter le plafond de ma carte Visa. »</w:t>
      </w:r>
    </w:p>
    <w:p>
      <w:pPr>
        <w:pStyle w:val="ListParagraph"/>
        <w:numPr>
          <w:ilvl w:val="0"/>
          <w:numId w:val="4"/>
        </w:numPr>
        <w:spacing w:before="40" w:after="40" w:line="276"/>
      </w:pPr>
      <w:r>
        <w:rPr>
          <w:rFonts w:ascii="Arial" w:cs="Arial" w:eastAsia="Arial" w:hAnsi="Arial"/>
          <w:color w:val="333333"/>
          <w:sz w:val="21"/>
          <w:szCs w:val="21"/>
        </w:rPr>
        <w:t xml:space="preserve">Le système transcrit automatiquement l’audio en texte via le module STT (Whisper).</w:t>
      </w:r>
    </w:p>
    <w:p>
      <w:pPr>
        <w:pStyle w:val="ListParagraph"/>
        <w:numPr>
          <w:ilvl w:val="0"/>
          <w:numId w:val="4"/>
        </w:numPr>
        <w:spacing w:before="40" w:after="40" w:line="276"/>
      </w:pPr>
      <w:r>
        <w:rPr>
          <w:rFonts w:ascii="Arial" w:cs="Arial" w:eastAsia="Arial" w:hAnsi="Arial"/>
          <w:color w:val="333333"/>
          <w:sz w:val="21"/>
          <w:szCs w:val="21"/>
        </w:rPr>
        <w:t xml:space="preserve">Le texte est analysé pour détecter l’intention (modification de plafond CB) et les entités (carte Visa).</w:t>
      </w:r>
    </w:p>
    <w:p>
      <w:pPr>
        <w:pStyle w:val="ListParagraph"/>
        <w:numPr>
          <w:ilvl w:val="0"/>
          <w:numId w:val="4"/>
        </w:numPr>
        <w:spacing w:before="40" w:after="40" w:line="276"/>
      </w:pPr>
      <w:r>
        <w:rPr>
          <w:rFonts w:ascii="Arial" w:cs="Arial" w:eastAsia="Arial" w:hAnsi="Arial"/>
          <w:color w:val="333333"/>
          <w:sz w:val="21"/>
          <w:szCs w:val="21"/>
        </w:rPr>
        <w:t xml:space="preserve">Le module RAG interroge la base de connaissances bancaire et récupère la fiche « Modification plafond CB », enrichie du contexte client (carte Visa Classic, plafond actuel 800 €).</w:t>
      </w:r>
    </w:p>
    <w:p>
      <w:pPr>
        <w:pStyle w:val="ListParagraph"/>
        <w:numPr>
          <w:ilvl w:val="0"/>
          <w:numId w:val="4"/>
        </w:numPr>
        <w:spacing w:before="40" w:after="40" w:line="276"/>
      </w:pPr>
      <w:r>
        <w:rPr>
          <w:rFonts w:ascii="Arial" w:cs="Arial" w:eastAsia="Arial" w:hAnsi="Arial"/>
          <w:color w:val="333333"/>
          <w:sz w:val="21"/>
          <w:szCs w:val="21"/>
        </w:rPr>
        <w:t xml:space="preserve">Le LLM génère une réponse adaptée au style oral : « Oui, c’est tout à fait possible. Avec votre Visa Classic, vous pouvez monter jusqu’à 1 500 € par mois. »</w:t>
      </w:r>
    </w:p>
    <w:p>
      <w:pPr>
        <w:pStyle w:val="ListParagraph"/>
        <w:numPr>
          <w:ilvl w:val="0"/>
          <w:numId w:val="4"/>
        </w:numPr>
        <w:spacing w:before="40" w:after="40" w:line="276"/>
      </w:pPr>
      <w:r>
        <w:rPr>
          <w:rFonts w:ascii="Arial" w:cs="Arial" w:eastAsia="Arial" w:hAnsi="Arial"/>
          <w:color w:val="333333"/>
          <w:sz w:val="21"/>
          <w:szCs w:val="21"/>
        </w:rPr>
        <w:t xml:space="preserve">Le module TTS synthétise cette réponse avec la voix clonée du conseiller attiré.</w:t>
      </w:r>
    </w:p>
    <w:p>
      <w:pPr>
        <w:pStyle w:val="ListParagraph"/>
        <w:numPr>
          <w:ilvl w:val="0"/>
          <w:numId w:val="4"/>
        </w:numPr>
        <w:spacing w:before="40" w:after="40" w:line="276"/>
      </w:pPr>
      <w:r>
        <w:rPr>
          <w:rFonts w:ascii="Arial" w:cs="Arial" w:eastAsia="Arial" w:hAnsi="Arial"/>
          <w:color w:val="333333"/>
          <w:sz w:val="21"/>
          <w:szCs w:val="21"/>
        </w:rPr>
        <w:t xml:space="preserve">Le conseiller visualise la question et la réponse sur son tableau de bord. Si le score de confiance dépasse le seuil, la réponse est envoyée automatiquement.</w:t>
      </w:r>
    </w:p>
    <w:p>
      <w:pPr>
        <w:pStyle w:val="ListParagraph"/>
        <w:numPr>
          <w:ilvl w:val="0"/>
          <w:numId w:val="4"/>
        </w:numPr>
        <w:spacing w:before="40" w:after="40" w:line="276"/>
      </w:pPr>
      <w:r>
        <w:rPr>
          <w:rFonts w:ascii="Arial" w:cs="Arial" w:eastAsia="Arial" w:hAnsi="Arial"/>
          <w:color w:val="333333"/>
          <w:sz w:val="21"/>
          <w:szCs w:val="21"/>
        </w:rPr>
        <w:t xml:space="preserve">Le client reçoit la réponse audio accompagnée de sa transcription textuelle.</w:t>
      </w:r>
    </w:p>
    <w:p>
      <w:pPr>
        <w:pStyle w:val="Heading2"/>
        <w:spacing w:before="280" w:after="160"/>
      </w:pPr>
      <w:r>
        <w:rPr>
          <w:rFonts w:ascii="Arial" w:cs="Arial" w:eastAsia="Arial" w:hAnsi="Arial"/>
          <w:b/>
          <w:bCs/>
          <w:color w:val="2E5FA1"/>
          <w:sz w:val="26"/>
          <w:szCs w:val="26"/>
        </w:rPr>
        <w:t xml:space="preserve">3.2  Périmètre MVP (Minimum Viable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5FA1" w:sz="2"/>
              <w:right w:val="none" w:sz="0"/>
            </w:tcBorders>
            <w:shd w:fill="D6E4F0" w:val="clear"/>
            <w:tcMar>
              <w:top w:type="dxa" w:w="100"/>
              <w:left w:type="dxa" w:w="200"/>
              <w:bottom w:type="dxa" w:w="100"/>
              <w:right w:type="dxa" w:w="200"/>
            </w:tcMar>
          </w:tcPr>
          <w:p>
            <w:r>
              <w:rPr>
                <w:rFonts w:ascii="Arial" w:cs="Arial" w:eastAsia="Arial" w:hAnsi="Arial"/>
                <w:b/>
                <w:bCs/>
                <w:color w:val="1B2A4A"/>
                <w:sz w:val="22"/>
                <w:szCs w:val="22"/>
              </w:rPr>
              <w:t xml:space="preserve">Fonctionnalités incluses dans le MVP</w:t>
            </w:r>
          </w:p>
        </w:tc>
      </w:tr>
      <w:tr>
        <w:tc>
          <w:tcPr>
            <w:tcW w:type="dxa" w:w="9360"/>
            <w:tcBorders>
              <w:top w:val="none" w:sz="0"/>
              <w:left w:val="none" w:sz="0"/>
              <w:bottom w:val="none" w:sz="0"/>
              <w:right w:val="none" w:sz="0"/>
            </w:tcBorders>
            <w:shd w:fill="EBF1F8" w:val="clear"/>
            <w:tcMar>
              <w:top w:type="dxa" w:w="100"/>
              <w:left w:type="dxa" w:w="200"/>
              <w:bottom w:type="dxa" w:w="100"/>
              <w:right w:type="dxa" w:w="200"/>
            </w:tcMar>
          </w:tcPr>
          <w:p>
            <w:pPr>
              <w:spacing w:before="40" w:after="40"/>
            </w:pPr>
            <w:r>
              <w:rPr>
                <w:rFonts w:ascii="Arial" w:cs="Arial" w:eastAsia="Arial" w:hAnsi="Arial"/>
                <w:color w:val="444444"/>
                <w:sz w:val="20"/>
                <w:szCs w:val="20"/>
              </w:rPr>
              <w:t xml:space="preserve">•  Transcription vocale français (STT) avec mesure de qualité</w:t>
            </w:r>
          </w:p>
          <w:p>
            <w:pPr>
              <w:spacing w:before="40" w:after="40"/>
            </w:pPr>
            <w:r>
              <w:rPr>
                <w:rFonts w:ascii="Arial" w:cs="Arial" w:eastAsia="Arial" w:hAnsi="Arial"/>
                <w:color w:val="444444"/>
                <w:sz w:val="20"/>
                <w:szCs w:val="20"/>
              </w:rPr>
              <w:t xml:space="preserve">•  Pipeline RAG sur une base documentaire bancaire de référence (~50 fiches)</w:t>
            </w:r>
          </w:p>
          <w:p>
            <w:pPr>
              <w:spacing w:before="40" w:after="40"/>
            </w:pPr>
            <w:r>
              <w:rPr>
                <w:rFonts w:ascii="Arial" w:cs="Arial" w:eastAsia="Arial" w:hAnsi="Arial"/>
                <w:color w:val="444444"/>
                <w:sz w:val="20"/>
                <w:szCs w:val="20"/>
              </w:rPr>
              <w:t xml:space="preserve">•  Génération de réponses en style oral via LLM</w:t>
            </w:r>
          </w:p>
          <w:p>
            <w:pPr>
              <w:spacing w:before="40" w:after="40"/>
            </w:pPr>
            <w:r>
              <w:rPr>
                <w:rFonts w:ascii="Arial" w:cs="Arial" w:eastAsia="Arial" w:hAnsi="Arial"/>
                <w:color w:val="444444"/>
                <w:sz w:val="20"/>
                <w:szCs w:val="20"/>
              </w:rPr>
              <w:t xml:space="preserve">•  Synthèse vocale avec clonage de voix à partir d’un échantillon de 30 secondes</w:t>
            </w:r>
          </w:p>
          <w:p>
            <w:pPr>
              <w:spacing w:before="40" w:after="40"/>
            </w:pPr>
            <w:r>
              <w:rPr>
                <w:rFonts w:ascii="Arial" w:cs="Arial" w:eastAsia="Arial" w:hAnsi="Arial"/>
                <w:color w:val="444444"/>
                <w:sz w:val="20"/>
                <w:szCs w:val="20"/>
              </w:rPr>
              <w:t xml:space="preserve">•  API REST orchestrant le pipeline complet (audio in → audio out)</w:t>
            </w:r>
          </w:p>
          <w:p>
            <w:pPr>
              <w:spacing w:before="40" w:after="40"/>
            </w:pPr>
            <w:r>
              <w:rPr>
                <w:rFonts w:ascii="Arial" w:cs="Arial" w:eastAsia="Arial" w:hAnsi="Arial"/>
                <w:color w:val="444444"/>
                <w:sz w:val="20"/>
                <w:szCs w:val="20"/>
              </w:rPr>
              <w:t xml:space="preserve">•  Tableau de bord conseiller minimaliste (Streamlit) avec validation / édition</w:t>
            </w:r>
          </w:p>
          <w:p>
            <w:pPr>
              <w:spacing w:before="40" w:after="40"/>
            </w:pPr>
            <w:r>
              <w:rPr>
                <w:rFonts w:ascii="Arial" w:cs="Arial" w:eastAsia="Arial" w:hAnsi="Arial"/>
                <w:color w:val="444444"/>
                <w:sz w:val="20"/>
                <w:szCs w:val="20"/>
              </w:rPr>
              <w:t xml:space="preserve">•  Interface client simplifiée (webapp ou Gradio) pour envoi et réception audio</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5FA1" w:sz="2"/>
              <w:right w:val="none" w:sz="0"/>
            </w:tcBorders>
            <w:shd w:fill="D6E4F0" w:val="clear"/>
            <w:tcMar>
              <w:top w:type="dxa" w:w="100"/>
              <w:left w:type="dxa" w:w="200"/>
              <w:bottom w:type="dxa" w:w="100"/>
              <w:right w:type="dxa" w:w="200"/>
            </w:tcMar>
          </w:tcPr>
          <w:p>
            <w:r>
              <w:rPr>
                <w:rFonts w:ascii="Arial" w:cs="Arial" w:eastAsia="Arial" w:hAnsi="Arial"/>
                <w:b/>
                <w:bCs/>
                <w:color w:val="1B2A4A"/>
                <w:sz w:val="22"/>
                <w:szCs w:val="22"/>
              </w:rPr>
              <w:t xml:space="preserve">Hors périmètre (extensions optionnelles)</w:t>
            </w:r>
          </w:p>
        </w:tc>
      </w:tr>
      <w:tr>
        <w:tc>
          <w:tcPr>
            <w:tcW w:type="dxa" w:w="9360"/>
            <w:tcBorders>
              <w:top w:val="none" w:sz="0"/>
              <w:left w:val="none" w:sz="0"/>
              <w:bottom w:val="none" w:sz="0"/>
              <w:right w:val="none" w:sz="0"/>
            </w:tcBorders>
            <w:shd w:fill="EBF1F8" w:val="clear"/>
            <w:tcMar>
              <w:top w:type="dxa" w:w="100"/>
              <w:left w:type="dxa" w:w="200"/>
              <w:bottom w:type="dxa" w:w="100"/>
              <w:right w:type="dxa" w:w="200"/>
            </w:tcMar>
          </w:tcPr>
          <w:p>
            <w:pPr>
              <w:spacing w:before="40" w:after="40"/>
            </w:pPr>
            <w:r>
              <w:rPr>
                <w:rFonts w:ascii="Arial" w:cs="Arial" w:eastAsia="Arial" w:hAnsi="Arial"/>
                <w:color w:val="444444"/>
                <w:sz w:val="20"/>
                <w:szCs w:val="20"/>
              </w:rPr>
              <w:t xml:space="preserve">•  Authentification et gestion des comptes utilisateurs</w:t>
            </w:r>
          </w:p>
          <w:p>
            <w:pPr>
              <w:spacing w:before="40" w:after="40"/>
            </w:pPr>
            <w:r>
              <w:rPr>
                <w:rFonts w:ascii="Arial" w:cs="Arial" w:eastAsia="Arial" w:hAnsi="Arial"/>
                <w:color w:val="444444"/>
                <w:sz w:val="20"/>
                <w:szCs w:val="20"/>
              </w:rPr>
              <w:t xml:space="preserve">•  Intégration avec un SI bancaire réel</w:t>
            </w:r>
          </w:p>
          <w:p>
            <w:pPr>
              <w:spacing w:before="40" w:after="40"/>
            </w:pPr>
            <w:r>
              <w:rPr>
                <w:rFonts w:ascii="Arial" w:cs="Arial" w:eastAsia="Arial" w:hAnsi="Arial"/>
                <w:color w:val="444444"/>
                <w:sz w:val="20"/>
                <w:szCs w:val="20"/>
              </w:rPr>
              <w:t xml:space="preserve">•  Streaming audio temps réel</w:t>
            </w:r>
          </w:p>
          <w:p>
            <w:pPr>
              <w:spacing w:before="40" w:after="40"/>
            </w:pPr>
            <w:r>
              <w:rPr>
                <w:rFonts w:ascii="Arial" w:cs="Arial" w:eastAsia="Arial" w:hAnsi="Arial"/>
                <w:color w:val="444444"/>
                <w:sz w:val="20"/>
                <w:szCs w:val="20"/>
              </w:rPr>
              <w:t xml:space="preserve">•  Détection d’émotion dans la voix du client</w:t>
            </w:r>
          </w:p>
          <w:p>
            <w:pPr>
              <w:spacing w:before="40" w:after="40"/>
            </w:pPr>
            <w:r>
              <w:rPr>
                <w:rFonts w:ascii="Arial" w:cs="Arial" w:eastAsia="Arial" w:hAnsi="Arial"/>
                <w:color w:val="444444"/>
                <w:sz w:val="20"/>
                <w:szCs w:val="20"/>
              </w:rPr>
              <w:t xml:space="preserve">•  Support multilingue (hors français)</w:t>
            </w:r>
          </w:p>
        </w:tc>
      </w:tr>
    </w:tbl>
    <w:p>
      <w:r>
        <w:br w:type="page"/>
      </w:r>
    </w:p>
    <w:p>
      <w:pPr>
        <w:pStyle w:val="Heading1"/>
        <w:spacing w:before="360" w:after="200"/>
      </w:pPr>
      <w:r>
        <w:rPr>
          <w:rFonts w:ascii="Arial" w:cs="Arial" w:eastAsia="Arial" w:hAnsi="Arial"/>
          <w:b/>
          <w:bCs/>
          <w:color w:val="1B2A4A"/>
          <w:sz w:val="32"/>
          <w:szCs w:val="32"/>
        </w:rPr>
        <w:t xml:space="preserve">4. Architecture technique</w:t>
      </w:r>
    </w:p>
    <w:p>
      <w:pPr>
        <w:spacing w:before="80" w:after="80" w:line="276"/>
        <w:jc w:val="both"/>
      </w:pPr>
      <w:r>
        <w:rPr>
          <w:rFonts w:ascii="Arial" w:cs="Arial" w:eastAsia="Arial" w:hAnsi="Arial"/>
          <w:color w:val="333333"/>
          <w:sz w:val="21"/>
          <w:szCs w:val="21"/>
        </w:rPr>
        <w:t xml:space="preserve">L’architecture suit un pattern de pipeline séquentiel asynchrone. Chaque module est indépendant, communiquant via une API interne, ce qui facilite le développement parallèle par l’équipe.</w:t>
      </w:r>
    </w:p>
    <w:p>
      <w:pPr>
        <w:pStyle w:val="Heading2"/>
        <w:spacing w:before="280" w:after="160"/>
      </w:pPr>
      <w:r>
        <w:rPr>
          <w:rFonts w:ascii="Arial" w:cs="Arial" w:eastAsia="Arial" w:hAnsi="Arial"/>
          <w:b/>
          <w:bCs/>
          <w:color w:val="2E5FA1"/>
          <w:sz w:val="26"/>
          <w:szCs w:val="26"/>
        </w:rPr>
        <w:t xml:space="preserve">4.1  Vue d’ensemble du pipeline</w:t>
      </w:r>
    </w:p>
    <w:p>
      <w:pPr>
        <w:spacing w:before="80" w:after="80" w:line="276"/>
        <w:jc w:val="both"/>
      </w:pPr>
      <w:r>
        <w:rPr>
          <w:rFonts w:ascii="Arial" w:cs="Arial" w:eastAsia="Arial" w:hAnsi="Arial"/>
          <w:color w:val="333333"/>
          <w:sz w:val="21"/>
          <w:szCs w:val="21"/>
        </w:rPr>
        <w:t xml:space="preserve">Le flux principal se décompose en cinq étapes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w:t>
            </w:r>
          </w:p>
        </w:tc>
        <w:tc>
          <w:tcPr>
            <w:tcW w:type="dxa" w:w="1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Étape</w:t>
            </w:r>
          </w:p>
        </w:tc>
        <w:tc>
          <w:tcPr>
            <w:tcW w:type="dxa" w:w="70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w:t>
            </w:r>
          </w:p>
        </w:tc>
      </w:tr>
      <w:tr>
        <w:tc>
          <w:tcPr>
            <w:tcW w:type="dxa" w:w="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jc w:val="center"/>
            </w:pPr>
            <w:r>
              <w:rPr>
                <w:rFonts w:ascii="Arial" w:cs="Arial" w:eastAsia="Arial" w:hAnsi="Arial"/>
                <w:color w:val="2E5FA1"/>
                <w:sz w:val="22"/>
                <w:szCs w:val="22"/>
              </w:rPr>
              <w:t xml:space="preserve">❶</w:t>
            </w:r>
          </w:p>
        </w:tc>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Réception Audio</w:t>
            </w:r>
          </w:p>
        </w:tc>
        <w:tc>
          <w:tcPr>
            <w:tcW w:type="dxa" w:w="70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Le client envoie un fichier audio (webm/opus) via l’interface. L’API Gateway (FastAPI) le réceptionne, le valide et le place dans la file de traitement.</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color w:val="2E5FA1"/>
                <w:sz w:val="22"/>
                <w:szCs w:val="22"/>
              </w:rPr>
              <w:t xml:space="preserve">❷</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Transcription (STT)</w:t>
            </w:r>
          </w:p>
        </w:tc>
        <w:tc>
          <w:tcPr>
            <w:tcW w:type="dxa" w:w="7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Whisper large-v3 transcrit l’audio en texte. Le module détecte la langue, calcule un score de confiance et filtre le bruit.</w:t>
            </w:r>
          </w:p>
        </w:tc>
      </w:tr>
      <w:tr>
        <w:tc>
          <w:tcPr>
            <w:tcW w:type="dxa" w:w="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jc w:val="center"/>
            </w:pPr>
            <w:r>
              <w:rPr>
                <w:rFonts w:ascii="Arial" w:cs="Arial" w:eastAsia="Arial" w:hAnsi="Arial"/>
                <w:color w:val="2E5FA1"/>
                <w:sz w:val="22"/>
                <w:szCs w:val="22"/>
              </w:rPr>
              <w:t xml:space="preserve">❸</w:t>
            </w:r>
          </w:p>
        </w:tc>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Analyse et RAG</w:t>
            </w:r>
          </w:p>
        </w:tc>
        <w:tc>
          <w:tcPr>
            <w:tcW w:type="dxa" w:w="70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Le texte est enrichi du contexte client (segment, produits souscrits). Le retriever recherche les documents pertinents dans la base vectorielle. Le LLM génère une réponse en style oral.</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jc w:val="center"/>
            </w:pPr>
            <w:r>
              <w:rPr>
                <w:rFonts w:ascii="Arial" w:cs="Arial" w:eastAsia="Arial" w:hAnsi="Arial"/>
                <w:color w:val="2E5FA1"/>
                <w:sz w:val="22"/>
                <w:szCs w:val="22"/>
              </w:rPr>
              <w:t xml:space="preserve">❹</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Synthèse vocale (TTS)</w:t>
            </w:r>
          </w:p>
        </w:tc>
        <w:tc>
          <w:tcPr>
            <w:tcW w:type="dxa" w:w="7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La réponse texte est convertie en audio avec la voix clonée du conseiller via XTTS-v2.</w:t>
            </w:r>
          </w:p>
        </w:tc>
      </w:tr>
      <w:tr>
        <w:tc>
          <w:tcPr>
            <w:tcW w:type="dxa" w:w="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jc w:val="center"/>
            </w:pPr>
            <w:r>
              <w:rPr>
                <w:rFonts w:ascii="Arial" w:cs="Arial" w:eastAsia="Arial" w:hAnsi="Arial"/>
                <w:color w:val="2E5FA1"/>
                <w:sz w:val="22"/>
                <w:szCs w:val="22"/>
              </w:rPr>
              <w:t xml:space="preserve">❺</w:t>
            </w:r>
          </w:p>
        </w:tc>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Livraison</w:t>
            </w:r>
          </w:p>
        </w:tc>
        <w:tc>
          <w:tcPr>
            <w:tcW w:type="dxa" w:w="70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Le dashboard conseiller affiche la réponse pour validation. Selon le score de confiance, elle est envoyée automatiquement ou attend une validation manuelle.</w:t>
            </w:r>
          </w:p>
        </w:tc>
      </w:tr>
    </w:tbl>
    <w:p>
      <w:pPr>
        <w:pStyle w:val="Heading2"/>
        <w:spacing w:before="280" w:after="160"/>
      </w:pPr>
      <w:r>
        <w:rPr>
          <w:rFonts w:ascii="Arial" w:cs="Arial" w:eastAsia="Arial" w:hAnsi="Arial"/>
          <w:b/>
          <w:bCs/>
          <w:color w:val="2E5FA1"/>
          <w:sz w:val="26"/>
          <w:szCs w:val="26"/>
        </w:rPr>
        <w:t xml:space="preserve">4.2  Principes d’architecture</w:t>
      </w:r>
    </w:p>
    <w:p>
      <w:pPr>
        <w:pStyle w:val="ListParagraph"/>
        <w:numPr>
          <w:ilvl w:val="0"/>
          <w:numId w:val="5"/>
        </w:numPr>
        <w:spacing w:before="40" w:after="40" w:line="276"/>
      </w:pPr>
      <w:r>
        <w:rPr>
          <w:rFonts w:ascii="Arial" w:cs="Arial" w:eastAsia="Arial" w:hAnsi="Arial"/>
          <w:b/>
          <w:bCs/>
          <w:color w:val="333333"/>
          <w:sz w:val="21"/>
          <w:szCs w:val="21"/>
        </w:rPr>
        <w:t xml:space="preserve">Découplage modulaire : </w:t>
      </w:r>
      <w:r>
        <w:rPr>
          <w:rFonts w:ascii="Arial" w:cs="Arial" w:eastAsia="Arial" w:hAnsi="Arial"/>
          <w:color w:val="333333"/>
          <w:sz w:val="21"/>
          <w:szCs w:val="21"/>
        </w:rPr>
        <w:t xml:space="preserve">chaque brique (STT, RAG, TTS) est un service indépendant avec une interface claire, permettant le remplacement ou l’amélioration d’un module sans impacter les autres.</w:t>
      </w:r>
    </w:p>
    <w:p>
      <w:pPr>
        <w:pStyle w:val="ListParagraph"/>
        <w:numPr>
          <w:ilvl w:val="0"/>
          <w:numId w:val="5"/>
        </w:numPr>
        <w:spacing w:before="40" w:after="40" w:line="276"/>
      </w:pPr>
      <w:r>
        <w:rPr>
          <w:rFonts w:ascii="Arial" w:cs="Arial" w:eastAsia="Arial" w:hAnsi="Arial"/>
          <w:b/>
          <w:bCs/>
          <w:color w:val="333333"/>
          <w:sz w:val="21"/>
          <w:szCs w:val="21"/>
        </w:rPr>
        <w:t xml:space="preserve">Traitement asynchrone : </w:t>
      </w:r>
      <w:r>
        <w:rPr>
          <w:rFonts w:ascii="Arial" w:cs="Arial" w:eastAsia="Arial" w:hAnsi="Arial"/>
          <w:color w:val="333333"/>
          <w:sz w:val="21"/>
          <w:szCs w:val="21"/>
        </w:rPr>
        <w:t xml:space="preserve">le pipeline utilise un pattern async/await avec possibilité d’intégrer Celery pour le traitement en arrière-plan des requêtes longues.</w:t>
      </w:r>
    </w:p>
    <w:p>
      <w:pPr>
        <w:pStyle w:val="ListParagraph"/>
        <w:numPr>
          <w:ilvl w:val="0"/>
          <w:numId w:val="5"/>
        </w:numPr>
        <w:spacing w:before="40" w:after="40" w:line="276"/>
      </w:pPr>
      <w:r>
        <w:rPr>
          <w:rFonts w:ascii="Arial" w:cs="Arial" w:eastAsia="Arial" w:hAnsi="Arial"/>
          <w:b/>
          <w:bCs/>
          <w:color w:val="333333"/>
          <w:sz w:val="21"/>
          <w:szCs w:val="21"/>
        </w:rPr>
        <w:t xml:space="preserve">Observabilité : </w:t>
      </w:r>
      <w:r>
        <w:rPr>
          <w:rFonts w:ascii="Arial" w:cs="Arial" w:eastAsia="Arial" w:hAnsi="Arial"/>
          <w:color w:val="333333"/>
          <w:sz w:val="21"/>
          <w:szCs w:val="21"/>
        </w:rPr>
        <w:t xml:space="preserve">chaque étape produit des logs structurés et des métriques (latence, score de confiance, WER) pour le suivi de la qualité.</w:t>
      </w:r>
    </w:p>
    <w:p>
      <w:r>
        <w:br w:type="page"/>
      </w:r>
    </w:p>
    <w:p>
      <w:pPr>
        <w:pStyle w:val="Heading1"/>
        <w:spacing w:before="360" w:after="200"/>
      </w:pPr>
      <w:r>
        <w:rPr>
          <w:rFonts w:ascii="Arial" w:cs="Arial" w:eastAsia="Arial" w:hAnsi="Arial"/>
          <w:b/>
          <w:bCs/>
          <w:color w:val="1B2A4A"/>
          <w:sz w:val="32"/>
          <w:szCs w:val="32"/>
        </w:rPr>
        <w:t xml:space="preserve">5. Stack technologique</w:t>
      </w:r>
    </w:p>
    <w:p>
      <w:pPr>
        <w:spacing w:before="80" w:after="80" w:line="276"/>
        <w:jc w:val="both"/>
      </w:pPr>
      <w:r>
        <w:rPr>
          <w:rFonts w:ascii="Arial" w:cs="Arial" w:eastAsia="Arial" w:hAnsi="Arial"/>
          <w:color w:val="333333"/>
          <w:sz w:val="21"/>
          <w:szCs w:val="21"/>
        </w:rPr>
        <w:t xml:space="preserve">Le choix des technologies privilégie les solutions open source et les outils adaptés à un contexte étudiant (ressources GPU limitées, facilité de prise en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Brique</w:t>
            </w:r>
          </w:p>
        </w:tc>
        <w:tc>
          <w:tcPr>
            <w:tcW w:type="dxa" w:w="2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Technologie</w:t>
            </w:r>
          </w:p>
        </w:tc>
        <w:tc>
          <w:tcPr>
            <w:tcW w:type="dxa" w:w="51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Justification</w:t>
            </w:r>
          </w:p>
        </w:tc>
      </w:tr>
      <w:tr>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STT (Speech-to-Text)</w:t>
            </w:r>
          </w:p>
        </w:tc>
        <w:tc>
          <w:tcPr>
            <w:tcW w:type="dxa" w:w="2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faster-whisper (large-v3)</w:t>
            </w:r>
          </w:p>
        </w:tc>
        <w:tc>
          <w:tcPr>
            <w:tcW w:type="dxa" w:w="5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Optimisé pour GPU/CPU. Support natif du français.</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Embeddings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BGE-M3 (BAAI)</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Multilingue performant en français. Alt : CamemBERT.</w:t>
            </w:r>
          </w:p>
        </w:tc>
      </w:tr>
      <w:tr>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Base vectorielle</w:t>
            </w:r>
          </w:p>
        </w:tc>
        <w:tc>
          <w:tcPr>
            <w:tcW w:type="dxa" w:w="2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ChromaDB</w:t>
            </w:r>
          </w:p>
        </w:tc>
        <w:tc>
          <w:tcPr>
            <w:tcW w:type="dxa" w:w="5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Simple, suffisant pour un MVP. Alt : Qdrant.</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LLM (Génération)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Claude API (Sonnet)</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Excellent en FR. Alt : Mistral 7B via Ollama.</w:t>
            </w:r>
          </w:p>
        </w:tc>
      </w:tr>
      <w:tr>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TTS / Voice Clone</w:t>
            </w:r>
          </w:p>
        </w:tc>
        <w:tc>
          <w:tcPr>
            <w:tcW w:type="dxa" w:w="2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Coqui XTTS-v2</w:t>
            </w:r>
          </w:p>
        </w:tc>
        <w:tc>
          <w:tcPr>
            <w:tcW w:type="dxa" w:w="5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Open source, clonage à partir de 10–30s. Alt : Fish Speech.</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Backend API</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FastAPI (Python)</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Asynchrone natif, doc OpenAPI automatique.</w:t>
            </w:r>
          </w:p>
        </w:tc>
      </w:tr>
      <w:tr>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Dashboard</w:t>
            </w:r>
          </w:p>
        </w:tc>
        <w:tc>
          <w:tcPr>
            <w:tcW w:type="dxa" w:w="2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Streamlit</w:t>
            </w:r>
          </w:p>
        </w:tc>
        <w:tc>
          <w:tcPr>
            <w:tcW w:type="dxa" w:w="5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Prototypage rapide. Alt : Gradio.</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Interface client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Gradio ou React</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Gradio pour MVP, React pour version aboutie.</w:t>
            </w:r>
          </w:p>
        </w:tc>
      </w:tr>
      <w:tr>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Orchestration RAG</w:t>
            </w:r>
          </w:p>
        </w:tc>
        <w:tc>
          <w:tcPr>
            <w:tcW w:type="dxa" w:w="2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LangChain</w:t>
            </w:r>
          </w:p>
        </w:tc>
        <w:tc>
          <w:tcPr>
            <w:tcW w:type="dxa" w:w="5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Framework standard RAG. Alt : LlamaIndex.</w:t>
            </w:r>
          </w:p>
        </w:tc>
      </w:tr>
      <w:tr>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Conteneurisation</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Docker + compose</w:t>
            </w:r>
          </w:p>
        </w:tc>
        <w:tc>
          <w:tcPr>
            <w:tcW w:type="dxa" w:w="5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Environnement reproductible.</w:t>
            </w:r>
          </w:p>
        </w:tc>
      </w:tr>
      <w:tr>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Versioning</w:t>
            </w:r>
          </w:p>
        </w:tc>
        <w:tc>
          <w:tcPr>
            <w:tcW w:type="dxa" w:w="2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2E5FA1"/>
                <w:sz w:val="20"/>
                <w:szCs w:val="20"/>
              </w:rPr>
              <w:t xml:space="preserve">Git + GitHub/GitLab</w:t>
            </w:r>
          </w:p>
        </w:tc>
        <w:tc>
          <w:tcPr>
            <w:tcW w:type="dxa" w:w="5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Gestion collaborative du code.</w:t>
            </w:r>
          </w:p>
        </w:tc>
      </w:tr>
    </w:tbl>
    <w:p>
      <w:r>
        <w:br w:type="page"/>
      </w:r>
    </w:p>
    <w:p>
      <w:pPr>
        <w:pStyle w:val="Heading1"/>
        <w:spacing w:before="360" w:after="200"/>
      </w:pPr>
      <w:r>
        <w:rPr>
          <w:rFonts w:ascii="Arial" w:cs="Arial" w:eastAsia="Arial" w:hAnsi="Arial"/>
          <w:b/>
          <w:bCs/>
          <w:color w:val="1B2A4A"/>
          <w:sz w:val="32"/>
          <w:szCs w:val="32"/>
        </w:rPr>
        <w:t xml:space="preserve">6. Détail des modules</w:t>
      </w:r>
    </w:p>
    <w:p>
      <w:pPr>
        <w:pStyle w:val="Heading2"/>
        <w:spacing w:before="280" w:after="160"/>
      </w:pPr>
      <w:r>
        <w:rPr>
          <w:rFonts w:ascii="Arial" w:cs="Arial" w:eastAsia="Arial" w:hAnsi="Arial"/>
          <w:b/>
          <w:bCs/>
          <w:color w:val="2E5FA1"/>
          <w:sz w:val="26"/>
          <w:szCs w:val="26"/>
        </w:rPr>
        <w:t xml:space="preserve">6.1  Module STT — Transcription vocale</w:t>
      </w:r>
    </w:p>
    <w:p>
      <w:pPr>
        <w:spacing w:before="80" w:after="80" w:line="276"/>
        <w:jc w:val="both"/>
      </w:pPr>
      <w:r>
        <w:rPr>
          <w:rFonts w:ascii="Arial" w:cs="Arial" w:eastAsia="Arial" w:hAnsi="Arial"/>
          <w:color w:val="333333"/>
          <w:sz w:val="21"/>
          <w:szCs w:val="21"/>
        </w:rPr>
        <w:t xml:space="preserve">Ce module reçoit un fichier audio et produit une transcription textuelle accompagnée de métadonnées (langue détectée, score de confiance, durée).</w:t>
      </w:r>
    </w:p>
    <w:p>
      <w:pPr>
        <w:pStyle w:val="Heading3"/>
        <w:spacing w:before="200" w:after="120"/>
      </w:pPr>
      <w:r>
        <w:rPr>
          <w:rFonts w:ascii="Arial" w:cs="Arial" w:eastAsia="Arial" w:hAnsi="Arial"/>
          <w:b/>
          <w:bCs/>
          <w:color w:val="1B2A4A"/>
          <w:sz w:val="22"/>
          <w:szCs w:val="22"/>
        </w:rPr>
        <w:t xml:space="preserve">Spécifications</w:t>
      </w:r>
    </w:p>
    <w:p>
      <w:pPr>
        <w:pStyle w:val="ListParagraph"/>
        <w:numPr>
          <w:ilvl w:val="0"/>
          <w:numId w:val="6"/>
        </w:numPr>
        <w:spacing w:before="40" w:after="40" w:line="276"/>
      </w:pPr>
      <w:r>
        <w:rPr>
          <w:rFonts w:ascii="Arial" w:cs="Arial" w:eastAsia="Arial" w:hAnsi="Arial"/>
          <w:b/>
          <w:bCs/>
          <w:color w:val="333333"/>
          <w:sz w:val="21"/>
          <w:szCs w:val="21"/>
        </w:rPr>
        <w:t xml:space="preserve">Entrée : </w:t>
      </w:r>
      <w:r>
        <w:rPr>
          <w:rFonts w:ascii="Arial" w:cs="Arial" w:eastAsia="Arial" w:hAnsi="Arial"/>
          <w:color w:val="333333"/>
          <w:sz w:val="21"/>
          <w:szCs w:val="21"/>
        </w:rPr>
        <w:t xml:space="preserve">fichier audio (wav, mp3, webm, opus, ogg, m4a)</w:t>
      </w:r>
    </w:p>
    <w:p>
      <w:pPr>
        <w:pStyle w:val="ListParagraph"/>
        <w:numPr>
          <w:ilvl w:val="0"/>
          <w:numId w:val="6"/>
        </w:numPr>
        <w:spacing w:before="40" w:after="40" w:line="276"/>
      </w:pPr>
      <w:r>
        <w:rPr>
          <w:rFonts w:ascii="Arial" w:cs="Arial" w:eastAsia="Arial" w:hAnsi="Arial"/>
          <w:b/>
          <w:bCs/>
          <w:color w:val="333333"/>
          <w:sz w:val="21"/>
          <w:szCs w:val="21"/>
        </w:rPr>
        <w:t xml:space="preserve">Sortie : </w:t>
      </w:r>
      <w:r>
        <w:rPr>
          <w:rFonts w:ascii="Arial" w:cs="Arial" w:eastAsia="Arial" w:hAnsi="Arial"/>
          <w:color w:val="333333"/>
          <w:sz w:val="21"/>
          <w:szCs w:val="21"/>
        </w:rPr>
        <w:t xml:space="preserve">JSON avec texte transcrit, langue, confiance, temps de traitement</w:t>
      </w:r>
    </w:p>
    <w:p>
      <w:pPr>
        <w:pStyle w:val="ListParagraph"/>
        <w:numPr>
          <w:ilvl w:val="0"/>
          <w:numId w:val="6"/>
        </w:numPr>
        <w:spacing w:before="40" w:after="40" w:line="276"/>
      </w:pPr>
      <w:r>
        <w:rPr>
          <w:rFonts w:ascii="Arial" w:cs="Arial" w:eastAsia="Arial" w:hAnsi="Arial"/>
          <w:b/>
          <w:bCs/>
          <w:color w:val="333333"/>
          <w:sz w:val="21"/>
          <w:szCs w:val="21"/>
        </w:rPr>
        <w:t xml:space="preserve">Modèle : </w:t>
      </w:r>
      <w:r>
        <w:rPr>
          <w:rFonts w:ascii="Arial" w:cs="Arial" w:eastAsia="Arial" w:hAnsi="Arial"/>
          <w:color w:val="333333"/>
          <w:sz w:val="21"/>
          <w:szCs w:val="21"/>
        </w:rPr>
        <w:t xml:space="preserve">faster-whisper large-v3, float16 sur GPU ou int8 sur CPU</w:t>
      </w:r>
    </w:p>
    <w:p>
      <w:pPr>
        <w:pStyle w:val="Heading3"/>
        <w:spacing w:before="200" w:after="120"/>
      </w:pPr>
      <w:r>
        <w:rPr>
          <w:rFonts w:ascii="Arial" w:cs="Arial" w:eastAsia="Arial" w:hAnsi="Arial"/>
          <w:b/>
          <w:bCs/>
          <w:color w:val="1B2A4A"/>
          <w:sz w:val="22"/>
          <w:szCs w:val="22"/>
        </w:rPr>
        <w:t xml:space="preserve">Points d’attention</w:t>
      </w:r>
    </w:p>
    <w:p>
      <w:pPr>
        <w:pStyle w:val="ListParagraph"/>
        <w:numPr>
          <w:ilvl w:val="0"/>
          <w:numId w:val="7"/>
        </w:numPr>
        <w:spacing w:before="40" w:after="40" w:line="276"/>
      </w:pPr>
      <w:r>
        <w:rPr>
          <w:rFonts w:ascii="Arial" w:cs="Arial" w:eastAsia="Arial" w:hAnsi="Arial"/>
          <w:color w:val="333333"/>
          <w:sz w:val="21"/>
          <w:szCs w:val="21"/>
        </w:rPr>
        <w:t xml:space="preserve">Prétraitement audio : normalisation du volume, suppression des silences.</w:t>
      </w:r>
    </w:p>
    <w:p>
      <w:pPr>
        <w:pStyle w:val="ListParagraph"/>
        <w:numPr>
          <w:ilvl w:val="0"/>
          <w:numId w:val="7"/>
        </w:numPr>
        <w:spacing w:before="40" w:after="40" w:line="276"/>
      </w:pPr>
      <w:r>
        <w:rPr>
          <w:rFonts w:ascii="Arial" w:cs="Arial" w:eastAsia="Arial" w:hAnsi="Arial"/>
          <w:color w:val="333333"/>
          <w:sz w:val="21"/>
          <w:szCs w:val="21"/>
        </w:rPr>
        <w:t xml:space="preserve">Gestion des accents régionaux et non natifs : tester le WER sur corpus diversifié.</w:t>
      </w:r>
    </w:p>
    <w:p>
      <w:pPr>
        <w:pStyle w:val="ListParagraph"/>
        <w:numPr>
          <w:ilvl w:val="0"/>
          <w:numId w:val="7"/>
        </w:numPr>
        <w:spacing w:before="40" w:after="40" w:line="276"/>
      </w:pPr>
      <w:r>
        <w:rPr>
          <w:rFonts w:ascii="Arial" w:cs="Arial" w:eastAsia="Arial" w:hAnsi="Arial"/>
          <w:color w:val="333333"/>
          <w:sz w:val="21"/>
          <w:szCs w:val="21"/>
        </w:rPr>
        <w:t xml:space="preserve">Fallback : si confiance trop faible, demander au client de reformuler.</w:t>
      </w:r>
    </w:p>
    <w:p>
      <w:pPr>
        <w:pStyle w:val="Heading2"/>
        <w:spacing w:before="280" w:after="160"/>
      </w:pPr>
      <w:r>
        <w:rPr>
          <w:rFonts w:ascii="Arial" w:cs="Arial" w:eastAsia="Arial" w:hAnsi="Arial"/>
          <w:b/>
          <w:bCs/>
          <w:color w:val="2E5FA1"/>
          <w:sz w:val="26"/>
          <w:szCs w:val="26"/>
        </w:rPr>
        <w:t xml:space="preserve">6.2  Module RAG — Recherche et génération</w:t>
      </w:r>
    </w:p>
    <w:p>
      <w:pPr>
        <w:spacing w:before="80" w:after="80" w:line="276"/>
        <w:jc w:val="both"/>
      </w:pPr>
      <w:r>
        <w:rPr>
          <w:rFonts w:ascii="Arial" w:cs="Arial" w:eastAsia="Arial" w:hAnsi="Arial"/>
          <w:color w:val="333333"/>
          <w:sz w:val="21"/>
          <w:szCs w:val="21"/>
        </w:rPr>
        <w:t xml:space="preserve">Le module RAG constitue le cœur intelligent du système. Il combine la recherche sémantique dans une base documentaire bancaire avec la génération de réponses contextualisées.</w:t>
      </w:r>
    </w:p>
    <w:p>
      <w:pPr>
        <w:pStyle w:val="Heading3"/>
        <w:spacing w:before="200" w:after="120"/>
      </w:pPr>
      <w:r>
        <w:rPr>
          <w:rFonts w:ascii="Arial" w:cs="Arial" w:eastAsia="Arial" w:hAnsi="Arial"/>
          <w:b/>
          <w:bCs/>
          <w:color w:val="1B2A4A"/>
          <w:sz w:val="22"/>
          <w:szCs w:val="22"/>
        </w:rPr>
        <w:t xml:space="preserve">Base de connaissances</w:t>
      </w:r>
    </w:p>
    <w:p>
      <w:pPr>
        <w:pStyle w:val="ListParagraph"/>
        <w:numPr>
          <w:ilvl w:val="0"/>
          <w:numId w:val="8"/>
        </w:numPr>
        <w:spacing w:before="40" w:after="40" w:line="276"/>
      </w:pPr>
      <w:r>
        <w:rPr>
          <w:rFonts w:ascii="Arial" w:cs="Arial" w:eastAsia="Arial" w:hAnsi="Arial"/>
          <w:color w:val="333333"/>
          <w:sz w:val="21"/>
          <w:szCs w:val="21"/>
        </w:rPr>
        <w:t xml:space="preserve">Fiches produits : comptes courants, épargne, crédits, cartes bancaires.</w:t>
      </w:r>
    </w:p>
    <w:p>
      <w:pPr>
        <w:pStyle w:val="ListParagraph"/>
        <w:numPr>
          <w:ilvl w:val="0"/>
          <w:numId w:val="8"/>
        </w:numPr>
        <w:spacing w:before="40" w:after="40" w:line="276"/>
      </w:pPr>
      <w:r>
        <w:rPr>
          <w:rFonts w:ascii="Arial" w:cs="Arial" w:eastAsia="Arial" w:hAnsi="Arial"/>
          <w:color w:val="333333"/>
          <w:sz w:val="21"/>
          <w:szCs w:val="21"/>
        </w:rPr>
        <w:t xml:space="preserve">Procédures opérationnelles : opposition carte, virement, modification plafond, KYC.</w:t>
      </w:r>
    </w:p>
    <w:p>
      <w:pPr>
        <w:pStyle w:val="ListParagraph"/>
        <w:numPr>
          <w:ilvl w:val="0"/>
          <w:numId w:val="8"/>
        </w:numPr>
        <w:spacing w:before="40" w:after="40" w:line="276"/>
      </w:pPr>
      <w:r>
        <w:rPr>
          <w:rFonts w:ascii="Arial" w:cs="Arial" w:eastAsia="Arial" w:hAnsi="Arial"/>
          <w:color w:val="333333"/>
          <w:sz w:val="21"/>
          <w:szCs w:val="21"/>
        </w:rPr>
        <w:t xml:space="preserve">FAQ générale : frais bancaires, délais, conditions d’éligibilité.</w:t>
      </w:r>
    </w:p>
    <w:p>
      <w:pPr>
        <w:pStyle w:val="ListParagraph"/>
        <w:numPr>
          <w:ilvl w:val="0"/>
          <w:numId w:val="8"/>
        </w:numPr>
        <w:spacing w:before="40" w:after="40" w:line="276"/>
      </w:pPr>
      <w:r>
        <w:rPr>
          <w:rFonts w:ascii="Arial" w:cs="Arial" w:eastAsia="Arial" w:hAnsi="Arial"/>
          <w:color w:val="333333"/>
          <w:sz w:val="21"/>
          <w:szCs w:val="21"/>
        </w:rPr>
        <w:t xml:space="preserve">Réglementation simplifiée : RGPD, DSP2, LCB-FT.</w:t>
      </w:r>
    </w:p>
    <w:p>
      <w:pPr>
        <w:pStyle w:val="Heading3"/>
        <w:spacing w:before="200" w:after="120"/>
      </w:pPr>
      <w:r>
        <w:rPr>
          <w:rFonts w:ascii="Arial" w:cs="Arial" w:eastAsia="Arial" w:hAnsi="Arial"/>
          <w:b/>
          <w:bCs/>
          <w:color w:val="1B2A4A"/>
          <w:sz w:val="22"/>
          <w:szCs w:val="22"/>
        </w:rPr>
        <w:t xml:space="preserve">Stratégie de chunking</w:t>
      </w:r>
    </w:p>
    <w:p>
      <w:pPr>
        <w:spacing w:before="80" w:after="80" w:line="276"/>
        <w:jc w:val="both"/>
      </w:pPr>
      <w:r>
        <w:rPr>
          <w:rFonts w:ascii="Arial" w:cs="Arial" w:eastAsia="Arial" w:hAnsi="Arial"/>
          <w:color w:val="333333"/>
          <w:sz w:val="21"/>
          <w:szCs w:val="21"/>
        </w:rPr>
        <w:t xml:space="preserve">Le découpage des documents doit suivre une logique métier plutôt qu’un découpage arbitraire par nombre de tokens. Chaque chunk correspond à une unité de sens : une fiche produit, une procédure complète, ou une question-réponse de la FAQ. Les métadonnées associées (catégorie, segment client, date de mise à jour) permettent un filtrage contextuel lors de la recherche.</w:t>
      </w:r>
    </w:p>
    <w:p>
      <w:pPr>
        <w:pStyle w:val="Heading3"/>
        <w:spacing w:before="200" w:after="120"/>
      </w:pPr>
      <w:r>
        <w:rPr>
          <w:rFonts w:ascii="Arial" w:cs="Arial" w:eastAsia="Arial" w:hAnsi="Arial"/>
          <w:b/>
          <w:bCs/>
          <w:color w:val="1B2A4A"/>
          <w:sz w:val="22"/>
          <w:szCs w:val="22"/>
        </w:rPr>
        <w:t xml:space="preserve">Prompt engineering</w:t>
      </w:r>
    </w:p>
    <w:p>
      <w:pPr>
        <w:spacing w:before="80" w:after="80" w:line="276"/>
        <w:jc w:val="both"/>
      </w:pPr>
      <w:r>
        <w:rPr>
          <w:rFonts w:ascii="Arial" w:cs="Arial" w:eastAsia="Arial" w:hAnsi="Arial"/>
          <w:color w:val="333333"/>
          <w:sz w:val="21"/>
          <w:szCs w:val="21"/>
        </w:rPr>
        <w:t xml:space="preserve">Le prompt système du LLM doit être soigneusement conçu pour produire des réponses adaptées à une restitution vocale : phrases courtes, ton bienveillant, vocabulaire accessible, maximum trois phrases. Le prompt intègre le contexte client pour personnaliser la réponse.</w:t>
      </w:r>
    </w:p>
    <w:p>
      <w:pPr>
        <w:pStyle w:val="Heading3"/>
        <w:spacing w:before="200" w:after="120"/>
      </w:pPr>
      <w:r>
        <w:rPr>
          <w:rFonts w:ascii="Arial" w:cs="Arial" w:eastAsia="Arial" w:hAnsi="Arial"/>
          <w:b/>
          <w:bCs/>
          <w:color w:val="1B2A4A"/>
          <w:sz w:val="22"/>
          <w:szCs w:val="22"/>
        </w:rPr>
        <w:t xml:space="preserve">Guardrails</w:t>
      </w:r>
    </w:p>
    <w:p>
      <w:pPr>
        <w:pStyle w:val="ListParagraph"/>
        <w:numPr>
          <w:ilvl w:val="0"/>
          <w:numId w:val="9"/>
        </w:numPr>
        <w:spacing w:before="40" w:after="40" w:line="276"/>
      </w:pPr>
      <w:r>
        <w:rPr>
          <w:rFonts w:ascii="Arial" w:cs="Arial" w:eastAsia="Arial" w:hAnsi="Arial"/>
          <w:color w:val="333333"/>
          <w:sz w:val="21"/>
          <w:szCs w:val="21"/>
        </w:rPr>
        <w:t xml:space="preserve">Ne jamais fournir de conseil fiscal ou d’investissement personnalisé.</w:t>
      </w:r>
    </w:p>
    <w:p>
      <w:pPr>
        <w:pStyle w:val="ListParagraph"/>
        <w:numPr>
          <w:ilvl w:val="0"/>
          <w:numId w:val="9"/>
        </w:numPr>
        <w:spacing w:before="40" w:after="40" w:line="276"/>
      </w:pPr>
      <w:r>
        <w:rPr>
          <w:rFonts w:ascii="Arial" w:cs="Arial" w:eastAsia="Arial" w:hAnsi="Arial"/>
          <w:color w:val="333333"/>
          <w:sz w:val="21"/>
          <w:szCs w:val="21"/>
        </w:rPr>
        <w:t xml:space="preserve">Ne jamais communiquer d’informations sensibles (RIB, solde) en automatique.</w:t>
      </w:r>
    </w:p>
    <w:p>
      <w:pPr>
        <w:pStyle w:val="ListParagraph"/>
        <w:numPr>
          <w:ilvl w:val="0"/>
          <w:numId w:val="9"/>
        </w:numPr>
        <w:spacing w:before="40" w:after="40" w:line="276"/>
      </w:pPr>
      <w:r>
        <w:rPr>
          <w:rFonts w:ascii="Arial" w:cs="Arial" w:eastAsia="Arial" w:hAnsi="Arial"/>
          <w:color w:val="333333"/>
          <w:sz w:val="21"/>
          <w:szCs w:val="21"/>
        </w:rPr>
        <w:t xml:space="preserve">En cas d’incertitude, proposer un rendez-vous avec le conseiller.</w:t>
      </w:r>
    </w:p>
    <w:p>
      <w:pPr>
        <w:pStyle w:val="Heading2"/>
        <w:spacing w:before="280" w:after="160"/>
      </w:pPr>
      <w:r>
        <w:rPr>
          <w:rFonts w:ascii="Arial" w:cs="Arial" w:eastAsia="Arial" w:hAnsi="Arial"/>
          <w:b/>
          <w:bCs/>
          <w:color w:val="2E5FA1"/>
          <w:sz w:val="26"/>
          <w:szCs w:val="26"/>
        </w:rPr>
        <w:t xml:space="preserve">6.3  Module TTS — Synthèse vocale et clonage</w:t>
      </w:r>
    </w:p>
    <w:p>
      <w:pPr>
        <w:spacing w:before="80" w:after="80" w:line="276"/>
        <w:jc w:val="both"/>
      </w:pPr>
      <w:r>
        <w:rPr>
          <w:rFonts w:ascii="Arial" w:cs="Arial" w:eastAsia="Arial" w:hAnsi="Arial"/>
          <w:color w:val="333333"/>
          <w:sz w:val="21"/>
          <w:szCs w:val="21"/>
        </w:rPr>
        <w:t xml:space="preserve">Ce module transforme la réponse textuelle en audio en utilisant la voix clonée du conseiller bancaire.</w:t>
      </w:r>
    </w:p>
    <w:p>
      <w:pPr>
        <w:pStyle w:val="Heading3"/>
        <w:spacing w:before="200" w:after="120"/>
      </w:pPr>
      <w:r>
        <w:rPr>
          <w:rFonts w:ascii="Arial" w:cs="Arial" w:eastAsia="Arial" w:hAnsi="Arial"/>
          <w:b/>
          <w:bCs/>
          <w:color w:val="1B2A4A"/>
          <w:sz w:val="22"/>
          <w:szCs w:val="22"/>
        </w:rPr>
        <w:t xml:space="preserve">Processus d’onboarding vocal</w:t>
      </w:r>
    </w:p>
    <w:p>
      <w:pPr>
        <w:pStyle w:val="ListParagraph"/>
        <w:numPr>
          <w:ilvl w:val="0"/>
          <w:numId w:val="10"/>
        </w:numPr>
        <w:spacing w:before="40" w:after="40" w:line="276"/>
      </w:pPr>
      <w:r>
        <w:rPr>
          <w:rFonts w:ascii="Arial" w:cs="Arial" w:eastAsia="Arial" w:hAnsi="Arial"/>
          <w:color w:val="333333"/>
          <w:sz w:val="21"/>
          <w:szCs w:val="21"/>
        </w:rPr>
        <w:t xml:space="preserve">Le conseiller enregistre 5 à 10 phrases types (durée : 30s à 2 min).</w:t>
      </w:r>
    </w:p>
    <w:p>
      <w:pPr>
        <w:pStyle w:val="ListParagraph"/>
        <w:numPr>
          <w:ilvl w:val="0"/>
          <w:numId w:val="10"/>
        </w:numPr>
        <w:spacing w:before="40" w:after="40" w:line="276"/>
      </w:pPr>
      <w:r>
        <w:rPr>
          <w:rFonts w:ascii="Arial" w:cs="Arial" w:eastAsia="Arial" w:hAnsi="Arial"/>
          <w:color w:val="333333"/>
          <w:sz w:val="21"/>
          <w:szCs w:val="21"/>
        </w:rPr>
        <w:t xml:space="preserve">Les échantillons sont stockés de manière sécurisée (chiffrement AES-256).</w:t>
      </w:r>
    </w:p>
    <w:p>
      <w:pPr>
        <w:pStyle w:val="ListParagraph"/>
        <w:numPr>
          <w:ilvl w:val="0"/>
          <w:numId w:val="10"/>
        </w:numPr>
        <w:spacing w:before="40" w:after="40" w:line="276"/>
      </w:pPr>
      <w:r>
        <w:rPr>
          <w:rFonts w:ascii="Arial" w:cs="Arial" w:eastAsia="Arial" w:hAnsi="Arial"/>
          <w:color w:val="333333"/>
          <w:sz w:val="21"/>
          <w:szCs w:val="21"/>
        </w:rPr>
        <w:t xml:space="preserve">Un consentement explicite et écrit est recueilli avant toute utilisation.</w:t>
      </w:r>
    </w:p>
    <w:p>
      <w:pPr>
        <w:pStyle w:val="Heading3"/>
        <w:spacing w:before="200" w:after="120"/>
      </w:pPr>
      <w:r>
        <w:rPr>
          <w:rFonts w:ascii="Arial" w:cs="Arial" w:eastAsia="Arial" w:hAnsi="Arial"/>
          <w:b/>
          <w:bCs/>
          <w:color w:val="1B2A4A"/>
          <w:sz w:val="22"/>
          <w:szCs w:val="22"/>
        </w:rPr>
        <w:t xml:space="preserve">Paramètres de synthèse</w:t>
      </w:r>
    </w:p>
    <w:p>
      <w:pPr>
        <w:spacing w:before="80" w:after="80" w:line="276"/>
        <w:jc w:val="both"/>
      </w:pPr>
      <w:r>
        <w:rPr>
          <w:rFonts w:ascii="Arial" w:cs="Arial" w:eastAsia="Arial" w:hAnsi="Arial"/>
          <w:color w:val="333333"/>
          <w:sz w:val="21"/>
          <w:szCs w:val="21"/>
        </w:rPr>
        <w:t xml:space="preserve">La synthèse cible un débit naturel (~150 mots/min en français), avec une intonation professionnelle mais chaleureuse. La qualité sera mesurée via le Mean Opinion Score (MOS).</w:t>
      </w:r>
    </w:p>
    <w:p>
      <w:pPr>
        <w:pStyle w:val="Heading2"/>
        <w:spacing w:before="280" w:after="160"/>
      </w:pPr>
      <w:r>
        <w:rPr>
          <w:rFonts w:ascii="Arial" w:cs="Arial" w:eastAsia="Arial" w:hAnsi="Arial"/>
          <w:b/>
          <w:bCs/>
          <w:color w:val="2E5FA1"/>
          <w:sz w:val="26"/>
          <w:szCs w:val="26"/>
        </w:rPr>
        <w:t xml:space="preserve">6.4  Dashboard conseiller</w:t>
      </w:r>
    </w:p>
    <w:p>
      <w:pPr>
        <w:spacing w:before="80" w:after="80" w:line="276"/>
        <w:jc w:val="both"/>
      </w:pPr>
      <w:r>
        <w:rPr>
          <w:rFonts w:ascii="Arial" w:cs="Arial" w:eastAsia="Arial" w:hAnsi="Arial"/>
          <w:color w:val="333333"/>
          <w:sz w:val="21"/>
          <w:szCs w:val="21"/>
        </w:rPr>
        <w:t xml:space="preserve">Le tableau de bord Streamlit constitue l’interface de supervision humaine :</w:t>
      </w:r>
    </w:p>
    <w:p>
      <w:pPr>
        <w:pStyle w:val="ListParagraph"/>
        <w:numPr>
          <w:ilvl w:val="0"/>
          <w:numId w:val="11"/>
        </w:numPr>
        <w:spacing w:before="40" w:after="40" w:line="276"/>
      </w:pPr>
      <w:r>
        <w:rPr>
          <w:rFonts w:ascii="Arial" w:cs="Arial" w:eastAsia="Arial" w:hAnsi="Arial"/>
          <w:color w:val="333333"/>
          <w:sz w:val="21"/>
          <w:szCs w:val="21"/>
        </w:rPr>
        <w:t xml:space="preserve">File d’attente des messages vocaux entrants avec transcription.</w:t>
      </w:r>
    </w:p>
    <w:p>
      <w:pPr>
        <w:pStyle w:val="ListParagraph"/>
        <w:numPr>
          <w:ilvl w:val="0"/>
          <w:numId w:val="11"/>
        </w:numPr>
        <w:spacing w:before="40" w:after="40" w:line="276"/>
      </w:pPr>
      <w:r>
        <w:rPr>
          <w:rFonts w:ascii="Arial" w:cs="Arial" w:eastAsia="Arial" w:hAnsi="Arial"/>
          <w:color w:val="333333"/>
          <w:sz w:val="21"/>
          <w:szCs w:val="21"/>
        </w:rPr>
        <w:t xml:space="preserve">Affichage côte à côte de la question client et de la réponse générée.</w:t>
      </w:r>
    </w:p>
    <w:p>
      <w:pPr>
        <w:pStyle w:val="ListParagraph"/>
        <w:numPr>
          <w:ilvl w:val="0"/>
          <w:numId w:val="11"/>
        </w:numPr>
        <w:spacing w:before="40" w:after="40" w:line="276"/>
      </w:pPr>
      <w:r>
        <w:rPr>
          <w:rFonts w:ascii="Arial" w:cs="Arial" w:eastAsia="Arial" w:hAnsi="Arial"/>
          <w:color w:val="333333"/>
          <w:sz w:val="21"/>
          <w:szCs w:val="21"/>
        </w:rPr>
        <w:t xml:space="preserve">Score de confiance RAG avec sources utilisées.</w:t>
      </w:r>
    </w:p>
    <w:p>
      <w:pPr>
        <w:pStyle w:val="ListParagraph"/>
        <w:numPr>
          <w:ilvl w:val="0"/>
          <w:numId w:val="11"/>
        </w:numPr>
        <w:spacing w:before="40" w:after="40" w:line="276"/>
      </w:pPr>
      <w:r>
        <w:rPr>
          <w:rFonts w:ascii="Arial" w:cs="Arial" w:eastAsia="Arial" w:hAnsi="Arial"/>
          <w:color w:val="333333"/>
          <w:sz w:val="21"/>
          <w:szCs w:val="21"/>
        </w:rPr>
        <w:t xml:space="preserve">Actions : valider, éditer la réponse, ou répondre soi-même.</w:t>
      </w:r>
    </w:p>
    <w:p>
      <w:pPr>
        <w:pStyle w:val="ListParagraph"/>
        <w:numPr>
          <w:ilvl w:val="0"/>
          <w:numId w:val="11"/>
        </w:numPr>
        <w:spacing w:before="40" w:after="40" w:line="276"/>
      </w:pPr>
      <w:r>
        <w:rPr>
          <w:rFonts w:ascii="Arial" w:cs="Arial" w:eastAsia="Arial" w:hAnsi="Arial"/>
          <w:color w:val="333333"/>
          <w:sz w:val="21"/>
          <w:szCs w:val="21"/>
        </w:rPr>
        <w:t xml:space="preserve">Analytique : temps moyen, taux auto-résolution, satisfaction.</w:t>
      </w:r>
    </w:p>
    <w:p>
      <w:r>
        <w:br w:type="page"/>
      </w:r>
    </w:p>
    <w:p>
      <w:pPr>
        <w:pStyle w:val="Heading1"/>
        <w:spacing w:before="360" w:after="200"/>
      </w:pPr>
      <w:r>
        <w:rPr>
          <w:rFonts w:ascii="Arial" w:cs="Arial" w:eastAsia="Arial" w:hAnsi="Arial"/>
          <w:b/>
          <w:bCs/>
          <w:color w:val="1B2A4A"/>
          <w:sz w:val="32"/>
          <w:szCs w:val="32"/>
        </w:rPr>
        <w:t xml:space="preserve">7. Planning détaillé sur 70 heures</w:t>
      </w:r>
    </w:p>
    <w:p>
      <w:pPr>
        <w:spacing w:before="80" w:after="80" w:line="276"/>
        <w:jc w:val="both"/>
      </w:pPr>
      <w:r>
        <w:rPr>
          <w:rFonts w:ascii="Arial" w:cs="Arial" w:eastAsia="Arial" w:hAnsi="Arial"/>
          <w:color w:val="333333"/>
          <w:sz w:val="21"/>
          <w:szCs w:val="21"/>
        </w:rPr>
        <w:t xml:space="preserve">Le planning est organisé en 7 sprints de 10 heures. La répartition est indicative et peut être ajustée selon la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700"/>
        <w:gridCol w:w="5660"/>
      </w:tblGrid>
      <w:tr>
        <w:tc>
          <w:tcPr>
            <w:tcW w:type="dxa" w:w="11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Sprint</w:t>
            </w:r>
          </w:p>
        </w:tc>
        <w:tc>
          <w:tcPr>
            <w:tcW w:type="dxa" w:w="19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Thème</w:t>
            </w:r>
          </w:p>
        </w:tc>
        <w:tc>
          <w:tcPr>
            <w:tcW w:type="dxa" w:w="7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Heures</w:t>
            </w:r>
          </w:p>
        </w:tc>
        <w:tc>
          <w:tcPr>
            <w:tcW w:type="dxa" w:w="56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Détail des activités</w:t>
            </w:r>
          </w:p>
        </w:tc>
      </w:tr>
      <w:tr>
        <w:tc>
          <w:tcPr>
            <w:tcW w:type="dxa" w:w="11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Sprint 1</w:t>
            </w:r>
          </w:p>
        </w:tc>
        <w:tc>
          <w:tcPr>
            <w:tcW w:type="dxa" w:w="19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Cadrage et infrastructure</w:t>
            </w:r>
          </w:p>
        </w:tc>
        <w:tc>
          <w:tcPr>
            <w:tcW w:type="dxa" w:w="7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10h</w:t>
            </w:r>
          </w:p>
        </w:tc>
        <w:tc>
          <w:tcPr>
            <w:tcW w:type="dxa" w:w="56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Analyse du besoin métier et rédaction des specs fonctionnelles (3h). Setup de l’environnement : dépôt Git, Docker, structure projet (3h). Constitution de la base documentaire bancaire (4h).</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Sprint 2</w:t>
            </w:r>
          </w:p>
        </w:tc>
        <w:tc>
          <w:tcPr>
            <w:tcW w:type="dxa" w:w="1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Module STT</w:t>
            </w:r>
          </w:p>
        </w:tc>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10h</w:t>
            </w:r>
          </w:p>
        </w:tc>
        <w:tc>
          <w:tcPr>
            <w:tcW w:type="dxa" w:w="5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Installation et configuration de faster-whisper (2h). Développement du service de transcription avec API FastAPI (4h). Constitution du jeu de test audio FR avec accents variés (2h). Benchmark WER et optimisation (2h).</w:t>
            </w:r>
          </w:p>
        </w:tc>
      </w:tr>
      <w:tr>
        <w:tc>
          <w:tcPr>
            <w:tcW w:type="dxa" w:w="11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Sprint 3</w:t>
            </w:r>
          </w:p>
        </w:tc>
        <w:tc>
          <w:tcPr>
            <w:tcW w:type="dxa" w:w="19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RAG — Indexation</w:t>
            </w:r>
          </w:p>
        </w:tc>
        <w:tc>
          <w:tcPr>
            <w:tcW w:type="dxa" w:w="7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10h</w:t>
            </w:r>
          </w:p>
        </w:tc>
        <w:tc>
          <w:tcPr>
            <w:tcW w:type="dxa" w:w="56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Chunking métier et génération des embeddings (3h). Configuration ChromaDB et ingestion (2h). Développement du retriever avec filtrage métadonnées (3h). Tests de pertinence (2h).</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Sprint 4</w:t>
            </w:r>
          </w:p>
        </w:tc>
        <w:tc>
          <w:tcPr>
            <w:tcW w:type="dxa" w:w="1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RAG — Génération</w:t>
            </w:r>
          </w:p>
        </w:tc>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10h</w:t>
            </w:r>
          </w:p>
        </w:tc>
        <w:tc>
          <w:tcPr>
            <w:tcW w:type="dxa" w:w="5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Conception et itération du prompt système pour style oral (3h). Intégration LLM avec retriever (3h). Guardrails et scoring de confiance (2h). Tests E2E du RAG (2h).</w:t>
            </w:r>
          </w:p>
        </w:tc>
      </w:tr>
      <w:tr>
        <w:tc>
          <w:tcPr>
            <w:tcW w:type="dxa" w:w="11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Sprint 5</w:t>
            </w:r>
          </w:p>
        </w:tc>
        <w:tc>
          <w:tcPr>
            <w:tcW w:type="dxa" w:w="19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TTS et Voice Clone</w:t>
            </w:r>
          </w:p>
        </w:tc>
        <w:tc>
          <w:tcPr>
            <w:tcW w:type="dxa" w:w="7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10h</w:t>
            </w:r>
          </w:p>
        </w:tc>
        <w:tc>
          <w:tcPr>
            <w:tcW w:type="dxa" w:w="56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Installation et configuration XTTS-v2 (2h). Enregistrement d’échantillons vocaux de test (2h). Développement du service TTS avec API (3h). Tests qualité vocale et ajustements (3h).</w:t>
            </w:r>
          </w:p>
        </w:tc>
      </w:tr>
      <w:tr>
        <w:tc>
          <w:tcPr>
            <w:tcW w:type="dxa" w:w="11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Sprint 6</w:t>
            </w:r>
          </w:p>
        </w:tc>
        <w:tc>
          <w:tcPr>
            <w:tcW w:type="dxa" w:w="1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Intégration et UI</w:t>
            </w:r>
          </w:p>
        </w:tc>
        <w:tc>
          <w:tcPr>
            <w:tcW w:type="dxa" w:w="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10h</w:t>
            </w:r>
          </w:p>
        </w:tc>
        <w:tc>
          <w:tcPr>
            <w:tcW w:type="dxa" w:w="56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Intégration pipeline complet audio → STT → RAG → TTS → audio (3h). Dashboard conseiller Streamlit (3h). Interface client Gradio/webapp (2h). Tests d’intégration et bugs (2h).</w:t>
            </w:r>
          </w:p>
        </w:tc>
      </w:tr>
      <w:tr>
        <w:tc>
          <w:tcPr>
            <w:tcW w:type="dxa" w:w="11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Sprint 7</w:t>
            </w:r>
          </w:p>
        </w:tc>
        <w:tc>
          <w:tcPr>
            <w:tcW w:type="dxa" w:w="19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Évaluation et soutenance</w:t>
            </w:r>
          </w:p>
        </w:tc>
        <w:tc>
          <w:tcPr>
            <w:tcW w:type="dxa" w:w="7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10h</w:t>
            </w:r>
          </w:p>
        </w:tc>
        <w:tc>
          <w:tcPr>
            <w:tcW w:type="dxa" w:w="56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Évaluation quantitative : WER, MOS, latence, pertinence (3h). Rédaction rapport technique final (3h). Préparation démo live et slides (3h). Répétition soutenance (1h).</w:t>
            </w:r>
          </w:p>
        </w:tc>
      </w:tr>
      <w:tr>
        <w:tc>
          <w:tcPr>
            <w:tcW w:type="dxa" w:w="3000"/>
            <w:gridSpan w:val="2"/>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TOTAL</w:t>
            </w:r>
          </w:p>
        </w:tc>
        <w:tc>
          <w:tcPr>
            <w:tcW w:type="dxa" w:w="7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70h</w:t>
            </w:r>
          </w:p>
        </w:tc>
        <w:tc>
          <w:tcPr>
            <w:tcW w:type="dxa" w:w="56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color w:val="FFFFFF"/>
                <w:sz w:val="20"/>
                <w:szCs w:val="20"/>
              </w:rPr>
              <w:t xml:space="preserve">7 sprints × 10 heures</w:t>
            </w:r>
          </w:p>
        </w:tc>
      </w:tr>
    </w:tbl>
    <w:p>
      <w:r>
        <w:br w:type="page"/>
      </w:r>
    </w:p>
    <w:p>
      <w:pPr>
        <w:pStyle w:val="Heading1"/>
        <w:spacing w:before="360" w:after="200"/>
      </w:pPr>
      <w:r>
        <w:rPr>
          <w:rFonts w:ascii="Arial" w:cs="Arial" w:eastAsia="Arial" w:hAnsi="Arial"/>
          <w:b/>
          <w:bCs/>
          <w:color w:val="1B2A4A"/>
          <w:sz w:val="32"/>
          <w:szCs w:val="32"/>
        </w:rPr>
        <w:t xml:space="preserve">8. Livrables attendus</w:t>
      </w:r>
    </w:p>
    <w:p>
      <w:pPr>
        <w:spacing w:before="80" w:after="80" w:line="276"/>
        <w:jc w:val="both"/>
      </w:pPr>
      <w:r>
        <w:rPr>
          <w:rFonts w:ascii="Arial" w:cs="Arial" w:eastAsia="Arial" w:hAnsi="Arial"/>
          <w:color w:val="333333"/>
          <w:sz w:val="21"/>
          <w:szCs w:val="21"/>
        </w:rPr>
        <w:t xml:space="preserve">Chaque livrable doit être remis dans le dépôt Git du projet, accompagné d’instructions de reproduction.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5860"/>
        <w:gridCol w:w="1600"/>
      </w:tblGrid>
      <w:tr>
        <w:tc>
          <w:tcPr>
            <w:tcW w:type="dxa" w:w="5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Réf</w:t>
            </w:r>
          </w:p>
        </w:tc>
        <w:tc>
          <w:tcPr>
            <w:tcW w:type="dxa" w:w="14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Livrable</w:t>
            </w:r>
          </w:p>
        </w:tc>
        <w:tc>
          <w:tcPr>
            <w:tcW w:type="dxa" w:w="58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w:t>
            </w:r>
          </w:p>
        </w:tc>
        <w:tc>
          <w:tcPr>
            <w:tcW w:type="dxa" w:w="16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Échéance</w:t>
            </w:r>
          </w:p>
        </w:tc>
      </w:tr>
      <w:tr>
        <w:tc>
          <w:tcPr>
            <w:tcW w:type="dxa" w:w="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L1</w:t>
            </w:r>
          </w:p>
        </w:tc>
        <w:tc>
          <w:tcPr>
            <w:tcW w:type="dxa" w:w="1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Code source</w:t>
            </w:r>
          </w:p>
        </w:tc>
        <w:tc>
          <w:tcPr>
            <w:tcW w:type="dxa" w:w="58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Dépôt Git complet avec code documenté, README, Dockerfile et docker-compose.yml permettant de lancer le système en une commande.</w:t>
            </w:r>
          </w:p>
        </w:tc>
        <w:tc>
          <w:tcPr>
            <w:tcW w:type="dxa" w:w="16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color w:val="666666"/>
                <w:sz w:val="20"/>
                <w:szCs w:val="20"/>
              </w:rPr>
              <w:t xml:space="preserve">Sprint 6</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L2</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Base documentaire</w:t>
            </w:r>
          </w:p>
        </w:tc>
        <w:tc>
          <w:tcPr>
            <w:tcW w:type="dxa" w:w="5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50 fiches minimum (produits, procédures, FAQ) au format structuré (Markdown ou JSON), prêtes pour l’indexation RAG.</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color w:val="666666"/>
                <w:sz w:val="20"/>
                <w:szCs w:val="20"/>
              </w:rPr>
              <w:t xml:space="preserve">Sprint 3</w:t>
            </w:r>
          </w:p>
        </w:tc>
      </w:tr>
      <w:tr>
        <w:tc>
          <w:tcPr>
            <w:tcW w:type="dxa" w:w="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L3</w:t>
            </w:r>
          </w:p>
        </w:tc>
        <w:tc>
          <w:tcPr>
            <w:tcW w:type="dxa" w:w="1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Jeu de test</w:t>
            </w:r>
          </w:p>
        </w:tc>
        <w:tc>
          <w:tcPr>
            <w:tcW w:type="dxa" w:w="58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30 scénarios de test audio couvrant des cas variés : questions simples, ambigüés, hors périmètre.</w:t>
            </w:r>
          </w:p>
        </w:tc>
        <w:tc>
          <w:tcPr>
            <w:tcW w:type="dxa" w:w="16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color w:val="666666"/>
                <w:sz w:val="20"/>
                <w:szCs w:val="20"/>
              </w:rPr>
              <w:t xml:space="preserve">Sprint 2</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L4</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Rapport d’évaluation</w:t>
            </w:r>
          </w:p>
        </w:tc>
        <w:tc>
          <w:tcPr>
            <w:tcW w:type="dxa" w:w="5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Résultats quantitatifs (WER, MOS, latence, pertinence) et qualitatifs avec analyse critique.</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color w:val="666666"/>
                <w:sz w:val="20"/>
                <w:szCs w:val="20"/>
              </w:rPr>
              <w:t xml:space="preserve">Sprint 7</w:t>
            </w:r>
          </w:p>
        </w:tc>
      </w:tr>
      <w:tr>
        <w:tc>
          <w:tcPr>
            <w:tcW w:type="dxa" w:w="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L5</w:t>
            </w:r>
          </w:p>
        </w:tc>
        <w:tc>
          <w:tcPr>
            <w:tcW w:type="dxa" w:w="1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Rapport technique</w:t>
            </w:r>
          </w:p>
        </w:tc>
        <w:tc>
          <w:tcPr>
            <w:tcW w:type="dxa" w:w="58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20 à 30 pages : contexte, architecture, choix techniques, guide de déploiement, résultats, limites, perspectives.</w:t>
            </w:r>
          </w:p>
        </w:tc>
        <w:tc>
          <w:tcPr>
            <w:tcW w:type="dxa" w:w="16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color w:val="666666"/>
                <w:sz w:val="20"/>
                <w:szCs w:val="20"/>
              </w:rPr>
              <w:t xml:space="preserve">Sprint 7</w:t>
            </w:r>
          </w:p>
        </w:tc>
      </w:tr>
      <w:tr>
        <w:tc>
          <w:tcPr>
            <w:tcW w:type="dxa" w:w="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L6</w:t>
            </w:r>
          </w:p>
        </w:tc>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Démonstration</w:t>
            </w:r>
          </w:p>
        </w:tc>
        <w:tc>
          <w:tcPr>
            <w:tcW w:type="dxa" w:w="58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Démo live de 15 min + 10 min de questions. Support de présentation (10–15 slides).</w:t>
            </w:r>
          </w:p>
        </w:tc>
        <w:tc>
          <w:tcPr>
            <w:tcW w:type="dxa" w:w="1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color w:val="666666"/>
                <w:sz w:val="20"/>
                <w:szCs w:val="20"/>
              </w:rPr>
              <w:t xml:space="preserve">Sprint 7</w:t>
            </w:r>
          </w:p>
        </w:tc>
      </w:tr>
      <w:tr>
        <w:tc>
          <w:tcPr>
            <w:tcW w:type="dxa" w:w="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L7</w:t>
            </w:r>
          </w:p>
        </w:tc>
        <w:tc>
          <w:tcPr>
            <w:tcW w:type="dxa" w:w="14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Note éthique</w:t>
            </w:r>
          </w:p>
        </w:tc>
        <w:tc>
          <w:tcPr>
            <w:tcW w:type="dxa" w:w="58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3 à 5 pages : consentement, RGPD, transparence, biais, risques deepfake, AI Act.</w:t>
            </w:r>
          </w:p>
        </w:tc>
        <w:tc>
          <w:tcPr>
            <w:tcW w:type="dxa" w:w="16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color w:val="666666"/>
                <w:sz w:val="20"/>
                <w:szCs w:val="20"/>
              </w:rPr>
              <w:t xml:space="preserve">Sprint 7</w:t>
            </w:r>
          </w:p>
        </w:tc>
      </w:tr>
    </w:tbl>
    <w:p>
      <w:r>
        <w:br w:type="page"/>
      </w:r>
    </w:p>
    <w:p>
      <w:pPr>
        <w:pStyle w:val="Heading1"/>
        <w:spacing w:before="360" w:after="200"/>
      </w:pPr>
      <w:r>
        <w:rPr>
          <w:rFonts w:ascii="Arial" w:cs="Arial" w:eastAsia="Arial" w:hAnsi="Arial"/>
          <w:b/>
          <w:bCs/>
          <w:color w:val="1B2A4A"/>
          <w:sz w:val="32"/>
          <w:szCs w:val="32"/>
        </w:rPr>
        <w:t xml:space="preserve">9. Critères d’évaluation et barème</w:t>
      </w:r>
    </w:p>
    <w:p>
      <w:pPr>
        <w:pStyle w:val="Heading2"/>
        <w:spacing w:before="280" w:after="160"/>
      </w:pPr>
      <w:r>
        <w:rPr>
          <w:rFonts w:ascii="Arial" w:cs="Arial" w:eastAsia="Arial" w:hAnsi="Arial"/>
          <w:b/>
          <w:bCs/>
          <w:color w:val="2E5FA1"/>
          <w:sz w:val="26"/>
          <w:szCs w:val="26"/>
        </w:rPr>
        <w:t xml:space="preserve">9.1  Barème de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Critère</w:t>
            </w:r>
          </w:p>
        </w:tc>
        <w:tc>
          <w:tcPr>
            <w:tcW w:type="dxa" w:w="9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Points</w:t>
            </w:r>
          </w:p>
        </w:tc>
        <w:tc>
          <w:tcPr>
            <w:tcW w:type="dxa" w:w="54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Attendus</w:t>
            </w:r>
          </w:p>
        </w:tc>
      </w:tr>
      <w:tr>
        <w:tc>
          <w:tcPr>
            <w:tcW w:type="dxa" w:w="30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Pipeline fonctionnel (STT → RAG → TTS)</w:t>
            </w:r>
          </w:p>
        </w:tc>
        <w:tc>
          <w:tcPr>
            <w:tcW w:type="dxa" w:w="9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30 pts</w:t>
            </w:r>
          </w:p>
        </w:tc>
        <w:tc>
          <w:tcPr>
            <w:tcW w:type="dxa" w:w="54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Le système complet fonctionne de bout en bout. Chaque module est testable indépendamment.</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Qualité du RAG et pertinence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20 pts</w:t>
            </w:r>
          </w:p>
        </w:tc>
        <w:tc>
          <w:tcPr>
            <w:tcW w:type="dxa" w:w="5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Réponses correctes, contextualisées, style oral. Guardrails fonctionnels.</w:t>
            </w:r>
          </w:p>
        </w:tc>
      </w:tr>
      <w:tr>
        <w:tc>
          <w:tcPr>
            <w:tcW w:type="dxa" w:w="30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Qualité du code et architecture</w:t>
            </w:r>
          </w:p>
        </w:tc>
        <w:tc>
          <w:tcPr>
            <w:tcW w:type="dxa" w:w="9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15 pts</w:t>
            </w:r>
          </w:p>
        </w:tc>
        <w:tc>
          <w:tcPr>
            <w:tcW w:type="dxa" w:w="54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Code propre, documenté, modulaire. Docker fonctionnel. Tests unitaires.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Rapport technique et note éthique</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15 pts</w:t>
            </w:r>
          </w:p>
        </w:tc>
        <w:tc>
          <w:tcPr>
            <w:tcW w:type="dxa" w:w="5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Rapport structuré, choix justifiés, analyse critique. Note éthique approfondie.</w:t>
            </w:r>
          </w:p>
        </w:tc>
      </w:tr>
      <w:tr>
        <w:tc>
          <w:tcPr>
            <w:tcW w:type="dxa" w:w="30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Soutenance et démonstration</w:t>
            </w:r>
          </w:p>
        </w:tc>
        <w:tc>
          <w:tcPr>
            <w:tcW w:type="dxa" w:w="9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 pts</w:t>
            </w:r>
          </w:p>
        </w:tc>
        <w:tc>
          <w:tcPr>
            <w:tcW w:type="dxa" w:w="54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Démo convaincante, maîtrise technique, qualité des réponses.</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Métriques d’évaluation</w:t>
            </w:r>
          </w:p>
        </w:tc>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10 pts</w:t>
            </w:r>
          </w:p>
        </w:tc>
        <w:tc>
          <w:tcPr>
            <w:tcW w:type="dxa" w:w="54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Méthodologie rigoureuse : WER, MOS, latence, pertinence évalués.</w:t>
            </w:r>
          </w:p>
        </w:tc>
      </w:tr>
      <w:tr>
        <w:tc>
          <w:tcPr>
            <w:tcW w:type="dxa" w:w="30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TOTAL</w:t>
            </w:r>
          </w:p>
        </w:tc>
        <w:tc>
          <w:tcPr>
            <w:tcW w:type="dxa" w:w="9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 pts</w:t>
            </w:r>
          </w:p>
        </w:tc>
        <w:tc>
          <w:tcPr>
            <w:tcW w:type="dxa" w:w="54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r>
              <w:rPr>
                <w:rFonts w:ascii="Arial" w:cs="Arial" w:eastAsia="Arial" w:hAnsi="Arial"/>
                <w:sz w:val="20"/>
                <w:szCs w:val="20"/>
              </w:rPr>
              <w:t xml:space="preserve"/>
            </w:r>
          </w:p>
        </w:tc>
      </w:tr>
    </w:tbl>
    <w:p>
      <w:pPr>
        <w:spacing w:before="200" w:after="0"/>
      </w:pPr>
    </w:p>
    <w:p>
      <w:pPr>
        <w:pStyle w:val="Heading2"/>
        <w:spacing w:before="280" w:after="160"/>
      </w:pPr>
      <w:r>
        <w:rPr>
          <w:rFonts w:ascii="Arial" w:cs="Arial" w:eastAsia="Arial" w:hAnsi="Arial"/>
          <w:b/>
          <w:bCs/>
          <w:color w:val="2E5FA1"/>
          <w:sz w:val="26"/>
          <w:szCs w:val="26"/>
        </w:rPr>
        <w:t xml:space="preserve">9.2  Métriques techniques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Métrique</w:t>
            </w:r>
          </w:p>
        </w:tc>
        <w:tc>
          <w:tcPr>
            <w:tcW w:type="dxa" w:w="18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Cible</w:t>
            </w:r>
          </w:p>
        </w:tc>
        <w:tc>
          <w:tcPr>
            <w:tcW w:type="dxa" w:w="40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Méthode</w:t>
            </w:r>
          </w:p>
        </w:tc>
      </w:tr>
      <w:tr>
        <w:tc>
          <w:tcPr>
            <w:tcW w:type="dxa" w:w="3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Latence end-to-end</w:t>
            </w:r>
          </w:p>
        </w:tc>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&lt; 10 secondes</w:t>
            </w:r>
          </w:p>
        </w:tc>
        <w:tc>
          <w:tcPr>
            <w:tcW w:type="dxa" w:w="40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Mesurée sur 30 requêtes, p95</w:t>
            </w:r>
          </w:p>
        </w:tc>
      </w:tr>
      <w:tr>
        <w:tc>
          <w:tcPr>
            <w:tcW w:type="dxa" w:w="3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WER (STT français)</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&lt; 12 %</w:t>
            </w:r>
          </w:p>
        </w:tc>
        <w:tc>
          <w:tcPr>
            <w:tcW w:type="dxa" w:w="4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Sur le jeu de test de 30 échantillons</w:t>
            </w:r>
          </w:p>
        </w:tc>
      </w:tr>
      <w:tr>
        <w:tc>
          <w:tcPr>
            <w:tcW w:type="dxa" w:w="3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Pertinence RAG</w:t>
            </w:r>
          </w:p>
        </w:tc>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&gt; 80 %</w:t>
            </w:r>
          </w:p>
        </w:tc>
        <w:tc>
          <w:tcPr>
            <w:tcW w:type="dxa" w:w="40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Évaluation humaine par 2 évaluateurs</w:t>
            </w:r>
          </w:p>
        </w:tc>
      </w:tr>
      <w:tr>
        <w:tc>
          <w:tcPr>
            <w:tcW w:type="dxa" w:w="3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MOS (qualité vocale)</w:t>
            </w:r>
          </w:p>
        </w:tc>
        <w:tc>
          <w:tcPr>
            <w:tcW w:type="dxa" w:w="1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&gt; 3.5 / 5</w:t>
            </w:r>
          </w:p>
        </w:tc>
        <w:tc>
          <w:tcPr>
            <w:tcW w:type="dxa" w:w="40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Panel de 5+ évaluateurs, 10 échantillons</w:t>
            </w:r>
          </w:p>
        </w:tc>
      </w:tr>
      <w:tr>
        <w:tc>
          <w:tcPr>
            <w:tcW w:type="dxa" w:w="35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Taux auto-résolution</w:t>
            </w:r>
          </w:p>
        </w:tc>
        <w:tc>
          <w:tcPr>
            <w:tcW w:type="dxa" w:w="18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jc w:val="center"/>
            </w:pPr>
            <w:r>
              <w:rPr>
                <w:rFonts w:ascii="Arial" w:cs="Arial" w:eastAsia="Arial" w:hAnsi="Arial"/>
                <w:b/>
                <w:bCs/>
                <w:color w:val="2E5FA1"/>
                <w:sz w:val="20"/>
                <w:szCs w:val="20"/>
              </w:rPr>
              <w:t xml:space="preserve">&gt; 50 %</w:t>
            </w:r>
          </w:p>
        </w:tc>
        <w:tc>
          <w:tcPr>
            <w:tcW w:type="dxa" w:w="40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Requêtes sans validation manuelle</w:t>
            </w:r>
          </w:p>
        </w:tc>
      </w:tr>
    </w:tbl>
    <w:p>
      <w:r>
        <w:br w:type="page"/>
      </w:r>
    </w:p>
    <w:p>
      <w:pPr>
        <w:pStyle w:val="Heading1"/>
        <w:spacing w:before="360" w:after="200"/>
      </w:pPr>
      <w:r>
        <w:rPr>
          <w:rFonts w:ascii="Arial" w:cs="Arial" w:eastAsia="Arial" w:hAnsi="Arial"/>
          <w:b/>
          <w:bCs/>
          <w:color w:val="1B2A4A"/>
          <w:sz w:val="32"/>
          <w:szCs w:val="32"/>
        </w:rPr>
        <w:t xml:space="preserve">10. Considérations éthiques et réglementaires</w:t>
      </w:r>
    </w:p>
    <w:p>
      <w:pPr>
        <w:spacing w:before="80" w:after="80" w:line="276"/>
        <w:jc w:val="both"/>
      </w:pPr>
      <w:r>
        <w:rPr>
          <w:rFonts w:ascii="Arial" w:cs="Arial" w:eastAsia="Arial" w:hAnsi="Arial"/>
          <w:color w:val="333333"/>
          <w:sz w:val="21"/>
          <w:szCs w:val="21"/>
        </w:rPr>
        <w:t xml:space="preserve">Dans le contexte bancaire, fortement réglementé, les enjeux éthiques et juridiques du voice cloning doivent être traités avec la plus grande rigueur. La note éthique demandée (livrable L7) doit couvrir les dimensions suivantes.</w:t>
      </w:r>
    </w:p>
    <w:p>
      <w:pPr>
        <w:pStyle w:val="Heading2"/>
        <w:spacing w:before="280" w:after="160"/>
      </w:pPr>
      <w:r>
        <w:rPr>
          <w:rFonts w:ascii="Arial" w:cs="Arial" w:eastAsia="Arial" w:hAnsi="Arial"/>
          <w:b/>
          <w:bCs/>
          <w:color w:val="2E5FA1"/>
          <w:sz w:val="26"/>
          <w:szCs w:val="26"/>
        </w:rPr>
        <w:t xml:space="preserve">10.1  Consentement et droit à la voix</w:t>
      </w:r>
    </w:p>
    <w:p>
      <w:pPr>
        <w:spacing w:before="80" w:after="80" w:line="276"/>
        <w:jc w:val="both"/>
      </w:pPr>
      <w:r>
        <w:rPr>
          <w:rFonts w:ascii="Arial" w:cs="Arial" w:eastAsia="Arial" w:hAnsi="Arial"/>
          <w:color w:val="333333"/>
          <w:sz w:val="21"/>
          <w:szCs w:val="21"/>
        </w:rPr>
        <w:t xml:space="preserve">Le clonage vocal du conseiller nécessite un consentement éclairé, libre et spécifique. Le conseiller doit comprendre comment sa voix sera utilisée, dans quel périmètre, et pouvoir révoquer son consentement à tout moment. Le client doit être informé que la réponse est générée par IA.</w:t>
      </w:r>
    </w:p>
    <w:p>
      <w:pPr>
        <w:pStyle w:val="Heading2"/>
        <w:spacing w:before="280" w:after="160"/>
      </w:pPr>
      <w:r>
        <w:rPr>
          <w:rFonts w:ascii="Arial" w:cs="Arial" w:eastAsia="Arial" w:hAnsi="Arial"/>
          <w:b/>
          <w:bCs/>
          <w:color w:val="2E5FA1"/>
          <w:sz w:val="26"/>
          <w:szCs w:val="26"/>
        </w:rPr>
        <w:t xml:space="preserve">10.2  Protection des données (RGPD)</w:t>
      </w:r>
    </w:p>
    <w:p>
      <w:pPr>
        <w:spacing w:before="80" w:after="80" w:line="276"/>
        <w:jc w:val="both"/>
      </w:pPr>
      <w:r>
        <w:rPr>
          <w:rFonts w:ascii="Arial" w:cs="Arial" w:eastAsia="Arial" w:hAnsi="Arial"/>
          <w:color w:val="333333"/>
          <w:sz w:val="21"/>
          <w:szCs w:val="21"/>
        </w:rPr>
        <w:t xml:space="preserve">Les données vocales constituent des données personnelles au sens du RGPD. Le projet doit prévoir une politique de minimisation (suppression des audios après traitement), un chiffrement des échantillons stockés, et une base légale claire pour le traitement.</w:t>
      </w:r>
    </w:p>
    <w:p>
      <w:pPr>
        <w:pStyle w:val="Heading2"/>
        <w:spacing w:before="280" w:after="160"/>
      </w:pPr>
      <w:r>
        <w:rPr>
          <w:rFonts w:ascii="Arial" w:cs="Arial" w:eastAsia="Arial" w:hAnsi="Arial"/>
          <w:b/>
          <w:bCs/>
          <w:color w:val="2E5FA1"/>
          <w:sz w:val="26"/>
          <w:szCs w:val="26"/>
        </w:rPr>
        <w:t xml:space="preserve">10.3  Transparence et risque de deepfake</w:t>
      </w:r>
    </w:p>
    <w:p>
      <w:pPr>
        <w:spacing w:before="80" w:after="80" w:line="276"/>
        <w:jc w:val="both"/>
      </w:pPr>
      <w:r>
        <w:rPr>
          <w:rFonts w:ascii="Arial" w:cs="Arial" w:eastAsia="Arial" w:hAnsi="Arial"/>
          <w:color w:val="333333"/>
          <w:sz w:val="21"/>
          <w:szCs w:val="21"/>
        </w:rPr>
        <w:t xml:space="preserve">Le voice cloning pose un risque de deepfake vocal. Le système doit intégrer des mécanismes de transparence : watermarking audio, mention systématique de la nature IA, et restriction de l’usage du clone vocal au seul périmètre du service client.</w:t>
      </w:r>
    </w:p>
    <w:p>
      <w:pPr>
        <w:pStyle w:val="Heading2"/>
        <w:spacing w:before="280" w:after="160"/>
      </w:pPr>
      <w:r>
        <w:rPr>
          <w:rFonts w:ascii="Arial" w:cs="Arial" w:eastAsia="Arial" w:hAnsi="Arial"/>
          <w:b/>
          <w:bCs/>
          <w:color w:val="2E5FA1"/>
          <w:sz w:val="26"/>
          <w:szCs w:val="26"/>
        </w:rPr>
        <w:t xml:space="preserve">10.4  Biais et inclusivité</w:t>
      </w:r>
    </w:p>
    <w:p>
      <w:pPr>
        <w:spacing w:before="80" w:after="80" w:line="276"/>
        <w:jc w:val="both"/>
      </w:pPr>
      <w:r>
        <w:rPr>
          <w:rFonts w:ascii="Arial" w:cs="Arial" w:eastAsia="Arial" w:hAnsi="Arial"/>
          <w:color w:val="333333"/>
          <w:sz w:val="21"/>
          <w:szCs w:val="21"/>
        </w:rPr>
        <w:t xml:space="preserve">Le module STT doit être évalué sur sa capacité à traiter équitablement différents accents, registres de langue et profils de locuteurs. Un WER significativement plus élevé pour certaines populations constituerait un biais discriminatoire à documenter et corriger.</w:t>
      </w:r>
    </w:p>
    <w:p>
      <w:pPr>
        <w:pStyle w:val="Heading2"/>
        <w:spacing w:before="280" w:after="160"/>
      </w:pPr>
      <w:r>
        <w:rPr>
          <w:rFonts w:ascii="Arial" w:cs="Arial" w:eastAsia="Arial" w:hAnsi="Arial"/>
          <w:b/>
          <w:bCs/>
          <w:color w:val="2E5FA1"/>
          <w:sz w:val="26"/>
          <w:szCs w:val="26"/>
        </w:rPr>
        <w:t xml:space="preserve">10.5  Cadre réglementaire</w:t>
      </w:r>
    </w:p>
    <w:p>
      <w:pPr>
        <w:spacing w:before="80" w:after="80" w:line="276"/>
        <w:jc w:val="both"/>
      </w:pPr>
      <w:r>
        <w:rPr>
          <w:rFonts w:ascii="Arial" w:cs="Arial" w:eastAsia="Arial" w:hAnsi="Arial"/>
          <w:color w:val="333333"/>
          <w:sz w:val="21"/>
          <w:szCs w:val="21"/>
        </w:rPr>
        <w:t xml:space="preserve">Le projet s’inscrit dans le cadre de l’AI Act européen (obligations de transparence pour contenu synthétique) et des réglementations bancaires spécifiques (DSP2, devoir de conseil, LCB-FT).</w:t>
      </w:r>
    </w:p>
    <w:p>
      <w:r>
        <w:br w:type="page"/>
      </w:r>
    </w:p>
    <w:p>
      <w:pPr>
        <w:pStyle w:val="Heading1"/>
        <w:spacing w:before="360" w:after="200"/>
      </w:pPr>
      <w:r>
        <w:rPr>
          <w:rFonts w:ascii="Arial" w:cs="Arial" w:eastAsia="Arial" w:hAnsi="Arial"/>
          <w:b/>
          <w:bCs/>
          <w:color w:val="1B2A4A"/>
          <w:sz w:val="32"/>
          <w:szCs w:val="32"/>
        </w:rPr>
        <w:t xml:space="preserve">11. Extensions et pistes d’amélioration</w:t>
      </w:r>
    </w:p>
    <w:p>
      <w:pPr>
        <w:spacing w:before="80" w:after="80" w:line="276"/>
        <w:jc w:val="both"/>
      </w:pPr>
      <w:r>
        <w:rPr>
          <w:rFonts w:ascii="Arial" w:cs="Arial" w:eastAsia="Arial" w:hAnsi="Arial"/>
          <w:color w:val="333333"/>
          <w:sz w:val="21"/>
          <w:szCs w:val="21"/>
        </w:rPr>
        <w:t xml:space="preserve">Pour les équipes les plus avancées, plusieurs extensions sont envisageables et constituent des bonus valorisés dans l’évaluation.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Extension</w:t>
            </w:r>
          </w:p>
        </w:tc>
        <w:tc>
          <w:tcPr>
            <w:tcW w:type="dxa" w:w="7160"/>
            <w:tcBorders>
              <w:top w:val="single" w:color="B0C4DE" w:sz="1"/>
              <w:left w:val="single" w:color="B0C4DE" w:sz="1"/>
              <w:bottom w:val="single" w:color="B0C4DE" w:sz="1"/>
              <w:right w:val="single" w:color="B0C4DE" w:sz="1"/>
            </w:tcBorders>
            <w:shd w:fill="1B2A4A"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Description</w:t>
            </w:r>
          </w:p>
        </w:tc>
      </w:tr>
      <w:tr>
        <w:tc>
          <w:tcPr>
            <w:tcW w:type="dxa" w:w="22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Streaming audio</w:t>
            </w:r>
          </w:p>
        </w:tc>
        <w:tc>
          <w:tcPr>
            <w:tcW w:type="dxa" w:w="7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Génération TTS en streaming pour réduire le temps de réponse perçu.</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Détection d’émotion</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Analyser le ton du client pour adapter le style et prioriser les demandes urgentes.</w:t>
            </w:r>
          </w:p>
        </w:tc>
      </w:tr>
      <w:tr>
        <w:tc>
          <w:tcPr>
            <w:tcW w:type="dxa" w:w="22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Support multilingue</w:t>
            </w:r>
          </w:p>
        </w:tc>
        <w:tc>
          <w:tcPr>
            <w:tcW w:type="dxa" w:w="7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Exploiter Whisper et XTTS-v2 pour l’anglais, l’arabe, avec détection automatique.</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Multimodalité</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Permettre l’envoi de photos (chèque, relevé) analysées par un modèle de vision.</w:t>
            </w:r>
          </w:p>
        </w:tc>
      </w:tr>
      <w:tr>
        <w:tc>
          <w:tcPr>
            <w:tcW w:type="dxa" w:w="220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Fine-tuning vocal</w:t>
            </w:r>
          </w:p>
        </w:tc>
        <w:tc>
          <w:tcPr>
            <w:tcW w:type="dxa" w:w="7160"/>
            <w:tcBorders>
              <w:top w:val="single" w:color="B0C4DE" w:sz="1"/>
              <w:left w:val="single" w:color="B0C4DE" w:sz="1"/>
              <w:bottom w:val="single" w:color="B0C4DE" w:sz="1"/>
              <w:right w:val="single" w:color="B0C4DE" w:sz="1"/>
            </w:tcBorders>
            <w:shd w:fill="EBF1F8" w:val="clear"/>
            <w:tcMar>
              <w:top w:type="dxa" w:w="80"/>
              <w:left w:type="dxa" w:w="120"/>
              <w:bottom w:type="dxa" w:w="80"/>
              <w:right w:type="dxa" w:w="120"/>
            </w:tcMar>
          </w:tcPr>
          <w:p>
            <w:pPr>
              <w:spacing w:before="40" w:after="40"/>
            </w:pPr>
            <w:r>
              <w:rPr>
                <w:rFonts w:ascii="Arial" w:cs="Arial" w:eastAsia="Arial" w:hAnsi="Arial"/>
                <w:sz w:val="20"/>
                <w:szCs w:val="20"/>
              </w:rPr>
              <w:t xml:space="preserve">Améliorer le clonage en fine-tunant XTTS-v2 sur un corpus plus riche du conseiller.</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b/>
                <w:bCs/>
                <w:color w:val="1B2A4A"/>
                <w:sz w:val="20"/>
                <w:szCs w:val="20"/>
              </w:rPr>
              <w:t xml:space="preserve">Éval. automatisée</w:t>
            </w:r>
          </w:p>
        </w:tc>
        <w:tc>
          <w:tcPr>
            <w:tcW w:type="dxa" w:w="7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pPr>
              <w:spacing w:before="40" w:after="40"/>
            </w:pPr>
            <w:r>
              <w:rPr>
                <w:rFonts w:ascii="Arial" w:cs="Arial" w:eastAsia="Arial" w:hAnsi="Arial"/>
                <w:sz w:val="20"/>
                <w:szCs w:val="20"/>
              </w:rPr>
              <w:t xml:space="preserve">Pipeline d’évaluation RAGAS pour mesurer pertinence et fidélité en continu.</w:t>
            </w:r>
          </w:p>
        </w:tc>
      </w:tr>
    </w:tbl>
    <w:p>
      <w:r>
        <w:br w:type="page"/>
      </w:r>
    </w:p>
    <w:p>
      <w:pPr>
        <w:pStyle w:val="Heading1"/>
        <w:spacing w:before="360" w:after="200"/>
      </w:pPr>
      <w:r>
        <w:rPr>
          <w:rFonts w:ascii="Arial" w:cs="Arial" w:eastAsia="Arial" w:hAnsi="Arial"/>
          <w:b/>
          <w:bCs/>
          <w:color w:val="1B2A4A"/>
          <w:sz w:val="32"/>
          <w:szCs w:val="32"/>
        </w:rPr>
        <w:t xml:space="preserve">12. Ressources et références</w:t>
      </w:r>
    </w:p>
    <w:p>
      <w:pPr>
        <w:pStyle w:val="Heading2"/>
        <w:spacing w:before="280" w:after="160"/>
      </w:pPr>
      <w:r>
        <w:rPr>
          <w:rFonts w:ascii="Arial" w:cs="Arial" w:eastAsia="Arial" w:hAnsi="Arial"/>
          <w:b/>
          <w:bCs/>
          <w:color w:val="2E5FA1"/>
          <w:sz w:val="26"/>
          <w:szCs w:val="26"/>
        </w:rPr>
        <w:t xml:space="preserve">12.1  Documentation technique</w:t>
      </w:r>
    </w:p>
    <w:p>
      <w:pPr>
        <w:pStyle w:val="ListParagraph"/>
        <w:numPr>
          <w:ilvl w:val="0"/>
          <w:numId w:val="12"/>
        </w:numPr>
        <w:spacing w:before="40" w:after="40" w:line="276"/>
      </w:pPr>
      <w:r>
        <w:rPr>
          <w:rFonts w:ascii="Arial" w:cs="Arial" w:eastAsia="Arial" w:hAnsi="Arial"/>
          <w:color w:val="333333"/>
          <w:sz w:val="21"/>
          <w:szCs w:val="21"/>
        </w:rPr>
        <w:t xml:space="preserve">Whisper — Documentation officielle OpenAI : github.com/openai/whisper</w:t>
      </w:r>
    </w:p>
    <w:p>
      <w:pPr>
        <w:pStyle w:val="ListParagraph"/>
        <w:numPr>
          <w:ilvl w:val="0"/>
          <w:numId w:val="12"/>
        </w:numPr>
        <w:spacing w:before="40" w:after="40" w:line="276"/>
      </w:pPr>
      <w:r>
        <w:rPr>
          <w:rFonts w:ascii="Arial" w:cs="Arial" w:eastAsia="Arial" w:hAnsi="Arial"/>
          <w:color w:val="333333"/>
          <w:sz w:val="21"/>
          <w:szCs w:val="21"/>
        </w:rPr>
        <w:t xml:space="preserve">faster-whisper — Implémentation CTranslate2 : github.com/SYSTRAN/faster-whisper</w:t>
      </w:r>
    </w:p>
    <w:p>
      <w:pPr>
        <w:pStyle w:val="ListParagraph"/>
        <w:numPr>
          <w:ilvl w:val="0"/>
          <w:numId w:val="12"/>
        </w:numPr>
        <w:spacing w:before="40" w:after="40" w:line="276"/>
      </w:pPr>
      <w:r>
        <w:rPr>
          <w:rFonts w:ascii="Arial" w:cs="Arial" w:eastAsia="Arial" w:hAnsi="Arial"/>
          <w:color w:val="333333"/>
          <w:sz w:val="21"/>
          <w:szCs w:val="21"/>
        </w:rPr>
        <w:t xml:space="preserve">Coqui TTS / XTTS-v2 — Synthèse vocale open source : github.com/coqui-ai/TTS</w:t>
      </w:r>
    </w:p>
    <w:p>
      <w:pPr>
        <w:pStyle w:val="ListParagraph"/>
        <w:numPr>
          <w:ilvl w:val="0"/>
          <w:numId w:val="12"/>
        </w:numPr>
        <w:spacing w:before="40" w:after="40" w:line="276"/>
      </w:pPr>
      <w:r>
        <w:rPr>
          <w:rFonts w:ascii="Arial" w:cs="Arial" w:eastAsia="Arial" w:hAnsi="Arial"/>
          <w:color w:val="333333"/>
          <w:sz w:val="21"/>
          <w:szCs w:val="21"/>
        </w:rPr>
        <w:t xml:space="preserve">LangChain — Framework RAG : python.langchain.com</w:t>
      </w:r>
    </w:p>
    <w:p>
      <w:pPr>
        <w:pStyle w:val="ListParagraph"/>
        <w:numPr>
          <w:ilvl w:val="0"/>
          <w:numId w:val="12"/>
        </w:numPr>
        <w:spacing w:before="40" w:after="40" w:line="276"/>
      </w:pPr>
      <w:r>
        <w:rPr>
          <w:rFonts w:ascii="Arial" w:cs="Arial" w:eastAsia="Arial" w:hAnsi="Arial"/>
          <w:color w:val="333333"/>
          <w:sz w:val="21"/>
          <w:szCs w:val="21"/>
        </w:rPr>
        <w:t xml:space="preserve">ChromaDB — Base vectorielle : docs.trychroma.com</w:t>
      </w:r>
    </w:p>
    <w:p>
      <w:pPr>
        <w:pStyle w:val="ListParagraph"/>
        <w:numPr>
          <w:ilvl w:val="0"/>
          <w:numId w:val="12"/>
        </w:numPr>
        <w:spacing w:before="40" w:after="40" w:line="276"/>
      </w:pPr>
      <w:r>
        <w:rPr>
          <w:rFonts w:ascii="Arial" w:cs="Arial" w:eastAsia="Arial" w:hAnsi="Arial"/>
          <w:color w:val="333333"/>
          <w:sz w:val="21"/>
          <w:szCs w:val="21"/>
        </w:rPr>
        <w:t xml:space="preserve">FastAPI — Framework web : fastapi.tiangolo.com</w:t>
      </w:r>
    </w:p>
    <w:p>
      <w:pPr>
        <w:pStyle w:val="ListParagraph"/>
        <w:numPr>
          <w:ilvl w:val="0"/>
          <w:numId w:val="12"/>
        </w:numPr>
        <w:spacing w:before="40" w:after="40" w:line="276"/>
      </w:pPr>
      <w:r>
        <w:rPr>
          <w:rFonts w:ascii="Arial" w:cs="Arial" w:eastAsia="Arial" w:hAnsi="Arial"/>
          <w:color w:val="333333"/>
          <w:sz w:val="21"/>
          <w:szCs w:val="21"/>
        </w:rPr>
        <w:t xml:space="preserve">Streamlit — Framework dashboard : docs.streamlit.io</w:t>
      </w:r>
    </w:p>
    <w:p>
      <w:pPr>
        <w:pStyle w:val="Heading2"/>
        <w:spacing w:before="280" w:after="160"/>
      </w:pPr>
      <w:r>
        <w:rPr>
          <w:rFonts w:ascii="Arial" w:cs="Arial" w:eastAsia="Arial" w:hAnsi="Arial"/>
          <w:b/>
          <w:bCs/>
          <w:color w:val="2E5FA1"/>
          <w:sz w:val="26"/>
          <w:szCs w:val="26"/>
        </w:rPr>
        <w:t xml:space="preserve">12.2  Publications clés</w:t>
      </w:r>
    </w:p>
    <w:p>
      <w:pPr>
        <w:pStyle w:val="ListParagraph"/>
        <w:numPr>
          <w:ilvl w:val="0"/>
          <w:numId w:val="13"/>
        </w:numPr>
        <w:spacing w:before="40" w:after="40" w:line="276"/>
      </w:pPr>
      <w:r>
        <w:rPr>
          <w:rFonts w:ascii="Arial" w:cs="Arial" w:eastAsia="Arial" w:hAnsi="Arial"/>
          <w:color w:val="333333"/>
          <w:sz w:val="21"/>
          <w:szCs w:val="21"/>
        </w:rPr>
        <w:t xml:space="preserve">Radford et al. (2023) — « Robust Speech Recognition via Large-Scale Weak Supervision »</w:t>
      </w:r>
    </w:p>
    <w:p>
      <w:pPr>
        <w:pStyle w:val="ListParagraph"/>
        <w:numPr>
          <w:ilvl w:val="0"/>
          <w:numId w:val="13"/>
        </w:numPr>
        <w:spacing w:before="40" w:after="40" w:line="276"/>
      </w:pPr>
      <w:r>
        <w:rPr>
          <w:rFonts w:ascii="Arial" w:cs="Arial" w:eastAsia="Arial" w:hAnsi="Arial"/>
          <w:color w:val="333333"/>
          <w:sz w:val="21"/>
          <w:szCs w:val="21"/>
        </w:rPr>
        <w:t xml:space="preserve">Lewis et al. (2020) — « Retrieval-Augmented Generation for Knowledge-Intensive NLP Tasks »</w:t>
      </w:r>
    </w:p>
    <w:p>
      <w:pPr>
        <w:pStyle w:val="ListParagraph"/>
        <w:numPr>
          <w:ilvl w:val="0"/>
          <w:numId w:val="13"/>
        </w:numPr>
        <w:spacing w:before="40" w:after="40" w:line="276"/>
      </w:pPr>
      <w:r>
        <w:rPr>
          <w:rFonts w:ascii="Arial" w:cs="Arial" w:eastAsia="Arial" w:hAnsi="Arial"/>
          <w:color w:val="333333"/>
          <w:sz w:val="21"/>
          <w:szCs w:val="21"/>
        </w:rPr>
        <w:t xml:space="preserve">Casanova et al. (2024) — « XTTS: a Massively Multilingual Zero-Shot Text-to-Speech Model »</w:t>
      </w:r>
    </w:p>
    <w:p>
      <w:pPr>
        <w:pStyle w:val="Heading2"/>
        <w:spacing w:before="280" w:after="160"/>
      </w:pPr>
      <w:r>
        <w:rPr>
          <w:rFonts w:ascii="Arial" w:cs="Arial" w:eastAsia="Arial" w:hAnsi="Arial"/>
          <w:b/>
          <w:bCs/>
          <w:color w:val="2E5FA1"/>
          <w:sz w:val="26"/>
          <w:szCs w:val="26"/>
        </w:rPr>
        <w:t xml:space="preserve">12.3  Ressources pédagogiques</w:t>
      </w:r>
    </w:p>
    <w:p>
      <w:pPr>
        <w:pStyle w:val="ListParagraph"/>
        <w:numPr>
          <w:ilvl w:val="0"/>
          <w:numId w:val="14"/>
        </w:numPr>
        <w:spacing w:before="40" w:after="40" w:line="276"/>
      </w:pPr>
      <w:r>
        <w:rPr>
          <w:rFonts w:ascii="Arial" w:cs="Arial" w:eastAsia="Arial" w:hAnsi="Arial"/>
          <w:color w:val="333333"/>
          <w:sz w:val="21"/>
          <w:szCs w:val="21"/>
        </w:rPr>
        <w:t xml:space="preserve">Anthropic — Guide de prompt engineering : docs.anthropic.com</w:t>
      </w:r>
    </w:p>
    <w:p>
      <w:pPr>
        <w:pStyle w:val="ListParagraph"/>
        <w:numPr>
          <w:ilvl w:val="0"/>
          <w:numId w:val="14"/>
        </w:numPr>
        <w:spacing w:before="40" w:after="40" w:line="276"/>
      </w:pPr>
      <w:r>
        <w:rPr>
          <w:rFonts w:ascii="Arial" w:cs="Arial" w:eastAsia="Arial" w:hAnsi="Arial"/>
          <w:color w:val="333333"/>
          <w:sz w:val="21"/>
          <w:szCs w:val="21"/>
        </w:rPr>
        <w:t xml:space="preserve">Hugging Face — Cours NLP et Audio : huggingface.co/learn</w:t>
      </w:r>
    </w:p>
    <w:p>
      <w:pPr>
        <w:pStyle w:val="ListParagraph"/>
        <w:numPr>
          <w:ilvl w:val="0"/>
          <w:numId w:val="14"/>
        </w:numPr>
        <w:spacing w:before="40" w:after="40" w:line="276"/>
      </w:pPr>
      <w:r>
        <w:rPr>
          <w:rFonts w:ascii="Arial" w:cs="Arial" w:eastAsia="Arial" w:hAnsi="Arial"/>
          <w:color w:val="333333"/>
          <w:sz w:val="21"/>
          <w:szCs w:val="21"/>
        </w:rPr>
        <w:t xml:space="preserve">RAGAS — Framework d’évaluation RAG : docs.ragas.io</w:t>
      </w:r>
    </w:p>
    <w:p>
      <w:pPr>
        <w:spacing w:before="300" w:after="0"/>
      </w:pPr>
    </w:p>
    <w:p>
      <w:pPr>
        <w:spacing w:before="200"/>
        <w:jc w:val="center"/>
      </w:pPr>
      <w:r>
        <w:rPr>
          <w:rFonts w:ascii="Arial" w:cs="Arial" w:eastAsia="Arial" w:hAnsi="Arial"/>
          <w:color w:val="B0C4DE"/>
          <w:sz w:val="20"/>
          <w:szCs w:val="20"/>
        </w:rPr>
        <w:t xml:space="preserve">──────────────────────────────</w:t>
      </w:r>
    </w:p>
    <w:p>
      <w:pPr>
        <w:spacing w:before="100"/>
        <w:jc w:val="center"/>
      </w:pPr>
      <w:r>
        <w:rPr>
          <w:rFonts w:ascii="Arial" w:cs="Arial" w:eastAsia="Arial" w:hAnsi="Arial"/>
          <w:i/>
          <w:iCs/>
          <w:color w:val="666666"/>
          <w:sz w:val="20"/>
          <w:szCs w:val="20"/>
        </w:rPr>
        <w:t xml:space="preserve">Fin du cahier des charges — VoiceAdvisor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VoiceAdvisor</w:t>
    </w:r>
    <w:r>
      <w:rPr>
        <w:rFonts w:ascii="Arial" w:cs="Arial" w:eastAsia="Arial" w:hAnsi="Arial"/>
        <w:color w:val="666666"/>
        <w:sz w:val="16"/>
        <w:szCs w:val="16"/>
      </w:rPr>
      <w:t xml:space="preserve">  |  Projet Étudiant — Service Client Bancaire Augmenté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4"/>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5"/>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FA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2026-02-08T16:38:38.484Z</dcterms:created>
  <dcterms:modified xsi:type="dcterms:W3CDTF">2026-02-08T16:38:38.485Z</dcterms:modified>
</cp:coreProperties>
</file>

<file path=docProps/custom.xml><?xml version="1.0" encoding="utf-8"?>
<Properties xmlns="http://schemas.openxmlformats.org/officeDocument/2006/custom-properties" xmlns:vt="http://schemas.openxmlformats.org/officeDocument/2006/docPropsVTypes"/>
</file>