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RelayIQ Placement API v2 Contract</w:t>
      </w:r>
    </w:p>
    <w:p>
      <w:pPr>
        <w:pStyle w:val="Subtitle"/>
      </w:pPr>
      <w:r>
        <w:t xml:space="preserve">Placement API v2 Draft 4 - implemented</w:t>
      </w:r>
    </w:p>
    <w:p>
      <w:r>
        <w:t xml:space="preserve">Scope: standalone placement API; legacy v1 and scheduler behavior remain separate</w:t>
      </w:r>
    </w:p>
    <w:p>
      <w:r>
        <w:t xml:space="preserve">Purpose: allow an independent agent harness to request a policy-backed execution target class and its requirements.</w:t>
      </w:r>
    </w:p>
    <w:p>
      <w:pPr>
        <w:pStyle w:val="Heading2"/>
      </w:pPr>
      <w:r>
        <w:t xml:space="preserve">POST /v2/placement/decide</w:t>
      </w:r>
    </w:p>
    <w:p>
      <w:pPr>
        <w:pStyle w:val="Heading1"/>
      </w:pPr>
      <w:r>
        <w:t xml:space="preserve">1. Endpoint behavior</w:t>
      </w:r>
    </w:p>
    <w:p>
      <w:r>
        <w:t xml:space="preserve">RelayIQ's Judge classifies the supplied input and request context, including whether this specific request requires caller consent for cloud use and which types of sensitive data it detects. RelayIQ then evaluates one operator-controlled policy snapshot, applies caller constraints, and returns a bounded placement recommendation: local, cloud, cloud_with_consent, or fallback.</w:t>
      </w:r>
    </w:p>
    <w:p>
      <w:r>
        <w:t xml:space="preserve">Consent is a per-request Judge decision, not an operator-wide cloud setting. The endpoint does not invoke an answer model, execute tools, manage provider credentials, alter the caller's conversation, or return a sanitized payload. The caller remains responsible for redacting sensitive data before cloud transmission, obtaining consent, selecting and executing a model, and handling retries or fallback.</w:t>
      </w:r>
    </w:p>
    <w:p>
      <w:pPr>
        <w:pStyle w:val="Quote"/>
      </w:pPr>
      <w:r>
        <w:t xml:space="preserve">A valid request normally returns HTTP 200 even when no model execution is permitted. In that case target_class is "fallback" and fallback_action tells the caller whether local execution is allowed or processing must stop.</w:t>
      </w:r>
    </w:p>
    <w:p>
      <w:pPr>
        <w:pStyle w:val="Quote"/>
      </w:pPr>
      <w:r>
        <w:t xml:space="preserve">Compatibility boundary: v2 intentionally omits the v1 placement, policy, permitted_payload, and requires_consent fields. The legacy v1 endpoint remains separate.</w:t>
      </w:r>
    </w:p>
    <w:p>
      <w:pPr>
        <w:pStyle w:val="Quote"/>
      </w:pPr>
      <w:r>
        <w:t xml:space="preserve">This is a breaking revision from Draft 3. Draft 4 removes context.redaction_profiles, requirements.redaction_profile, policy setting supported_redaction_profiles, and reason code REDACTION_UNSUPPORTED. Under the strict request schema, sending context.redaction_profiles returns HTTP 400 with INVALID_REQUEST. Producers and consumers require coordinated updates. The standalone runtime, generated OpenAPI, checked-in policy configuration, and docs/relayiq-v2-poc.md implement Draft 4. Migrate existing policy files to the profile-free shape with a new revision; old files fail strict startup validation. The v2 Judge path publishes the expanded classification structure; the legacy Judge interface and deterministic fallback routing are unchanged. suggested_models is now a two-lane object, not the earlier flat array. DECISION_UNAVAILABLE is retired and never returned. An unavailable policy or failed policy evaluation returns HTTP 500, not a fallback decision.</w:t>
      </w:r>
    </w:p>
    <w:p>
      <w:pPr>
        <w:pStyle w:val="Heading1"/>
      </w:pPr>
      <w:r>
        <w:t xml:space="preserve">2. Request</w:t>
      </w:r>
    </w:p>
    <w:p>
      <w:r>
        <w:t xml:space="preserve">Send a strict JSON object using Content-Type: application/json. Unknown fields and type coercion are rejected.</w:t>
      </w:r>
    </w:p>
    <w:p>
      <w:pPr>
        <w:pStyle w:val="Heading2"/>
      </w:pPr>
      <w:r>
        <w:t xml:space="preserve">Example</w:t>
      </w:r>
    </w:p>
    <w:p>
      <w:pPr>
        <w:pStyle w:val="Quote"/>
      </w:pPr>
      <w:r>
        <w:t xml:space="preserve">{
  "input": "Review confidential employee data for alex.example@example.com and compare two architecture options for storing it.",
  "preferred_target_class": "cloud",
  "model_mapping": {
    "local": ["phi-4-mini"],
    "cloud": ["nvidia/nemotron-3.5-lightning-30b-a3b"]
  },
  "context": {
    "connectivity": true,
    "cloud_budget_kb": null,
    "required_capabilities": ["extended_reasoning"]
  }
}</w:t>
      </w:r>
    </w:p>
    <w:p>
      <w:pPr>
        <w:pStyle w:val="Heading2"/>
      </w:pPr>
      <w:r>
        <w:t xml:space="preserve">Top-level fields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1800"/>
        <w:gridCol w:w="1800"/>
        <w:gridCol w:w="1800"/>
        <w:gridCol w:w="1800"/>
      </w:tblGrid>
      <w:tr>
        <w:tc>
          <w:tcPr>
            <w:tcW w:w="1800" w:type="dxa"/>
          </w:tcPr>
          <w:p>
            <w:r>
              <w:t xml:space="preserve">Field</w:t>
            </w:r>
          </w:p>
        </w:tc>
        <w:tc>
          <w:tcPr>
            <w:tcW w:w="1800" w:type="dxa"/>
          </w:tcPr>
          <w:p>
            <w:r>
              <w:t xml:space="preserve">Type</w:t>
            </w:r>
          </w:p>
        </w:tc>
        <w:tc>
          <w:tcPr>
            <w:tcW w:w="1800" w:type="dxa"/>
          </w:tcPr>
          <w:p>
            <w:r>
              <w:t xml:space="preserve">Required</w:t>
            </w:r>
          </w:p>
        </w:tc>
        <w:tc>
          <w:tcPr>
            <w:tcW w:w="1800" w:type="dxa"/>
          </w:tcPr>
          <w:p>
            <w:r>
              <w:t xml:space="preserve">Values / default</w:t>
            </w:r>
          </w:p>
        </w:tc>
        <w:tc>
          <w:tcPr>
            <w:tcW w:w="1800" w:type="dxa"/>
          </w:tcPr>
          <w:p>
            <w:r>
              <w:t xml:space="preserve">Meaning</w:t>
            </w:r>
          </w:p>
        </w:tc>
      </w:tr>
      <w:tr>
        <w:tc>
          <w:tcPr>
            <w:tcW w:w="1800" w:type="dxa"/>
          </w:tcPr>
          <w:p>
            <w:r>
              <w:t xml:space="preserve">input</w:t>
            </w:r>
          </w:p>
        </w:tc>
        <w:tc>
          <w:tcPr>
            <w:tcW w:w="1800" w:type="dxa"/>
          </w:tcPr>
          <w:p>
            <w:r>
              <w:t xml:space="preserve">string</w:t>
            </w:r>
          </w:p>
        </w:tc>
        <w:tc>
          <w:tcPr>
            <w:tcW w:w="1800" w:type="dxa"/>
          </w:tcPr>
          <w:p>
            <w:r>
              <w:t xml:space="preserve">Yes</w:t>
            </w:r>
          </w:p>
        </w:tc>
        <w:tc>
          <w:tcPr>
            <w:tcW w:w="1800" w:type="dxa"/>
          </w:tcPr>
          <w:p>
            <w:r>
              <w:t xml:space="preserve">1–100,000 characters; at least one non-whitespace character</w:t>
            </w:r>
          </w:p>
        </w:tc>
        <w:tc>
          <w:tcPr>
            <w:tcW w:w="1800" w:type="dxa"/>
          </w:tcPr>
          <w:p>
            <w:r>
              <w:t xml:space="preserve">Text evaluated by RelayIQ. Cloud budget uses the original UTF-8 byte length.</w:t>
            </w:r>
          </w:p>
        </w:tc>
      </w:tr>
      <w:tr>
        <w:tc>
          <w:tcPr>
            <w:tcW w:w="1800" w:type="dxa"/>
          </w:tcPr>
          <w:p>
            <w:r>
              <w:t xml:space="preserve">preferred_target_class</w:t>
            </w:r>
          </w:p>
        </w:tc>
        <w:tc>
          <w:tcPr>
            <w:tcW w:w="1800" w:type="dxa"/>
          </w:tcPr>
          <w:p>
            <w:r>
              <w:t xml:space="preserve">enum string</w:t>
            </w:r>
          </w:p>
        </w:tc>
        <w:tc>
          <w:tcPr>
            <w:tcW w:w="1800" w:type="dxa"/>
          </w:tcPr>
          <w:p>
            <w:r>
              <w:t xml:space="preserve">No</w:t>
            </w:r>
          </w:p>
        </w:tc>
        <w:tc>
          <w:tcPr>
            <w:tcW w:w="1800" w:type="dxa"/>
          </w:tcPr>
          <w:p>
            <w:r>
              <w:t xml:space="preserve">local | cloud; omitted by default</w:t>
            </w:r>
          </w:p>
        </w:tc>
        <w:tc>
          <w:tcPr>
            <w:tcW w:w="1800" w:type="dxa"/>
          </w:tcPr>
          <w:p>
            <w:r>
              <w:t xml:space="preserve">Caller preference, honored only when eligible. Explicit null is invalid.</w:t>
            </w:r>
          </w:p>
        </w:tc>
      </w:tr>
      <w:tr>
        <w:tc>
          <w:tcPr>
            <w:tcW w:w="1800" w:type="dxa"/>
          </w:tcPr>
          <w:p>
            <w:r>
              <w:t xml:space="preserve">model_mapping</w:t>
            </w:r>
          </w:p>
        </w:tc>
        <w:tc>
          <w:tcPr>
            <w:tcW w:w="1800" w:type="dxa"/>
          </w:tcPr>
          <w:p>
            <w:r>
              <w:t xml:space="preserve">object</w:t>
            </w:r>
          </w:p>
        </w:tc>
        <w:tc>
          <w:tcPr>
            <w:tcW w:w="1800" w:type="dxa"/>
          </w:tcPr>
          <w:p>
            <w:r>
              <w:t xml:space="preserve">No</w:t>
            </w:r>
          </w:p>
        </w:tc>
        <w:tc>
          <w:tcPr>
            <w:tcW w:w="1800" w:type="dxa"/>
          </w:tcPr>
          <w:p>
            <w:r>
              <w:t xml:space="preserve">local/cloud arrays; omitted by default</w:t>
            </w:r>
          </w:p>
        </w:tc>
        <w:tc>
          <w:tcPr>
            <w:tcW w:w="1800" w:type="dxa"/>
          </w:tcPr>
          <w:p>
            <w:r>
              <w:t xml:space="preserve">Ordered model candidates by lane. If omitted, inventory is unspecified and the response must omit suggested_models entirely. Explicit null is invalid.</w:t>
            </w:r>
          </w:p>
        </w:tc>
      </w:tr>
      <w:tr>
        <w:tc>
          <w:tcPr>
            <w:tcW w:w="1800" w:type="dxa"/>
          </w:tcPr>
          <w:p>
            <w:r>
              <w:t xml:space="preserve">context</w:t>
            </w:r>
          </w:p>
        </w:tc>
        <w:tc>
          <w:tcPr>
            <w:tcW w:w="1800" w:type="dxa"/>
          </w:tcPr>
          <w:p>
            <w:r>
              <w:t xml:space="preserve">object</w:t>
            </w:r>
          </w:p>
        </w:tc>
        <w:tc>
          <w:tcPr>
            <w:tcW w:w="1800" w:type="dxa"/>
          </w:tcPr>
          <w:p>
            <w:r>
              <w:t xml:space="preserve">No</w:t>
            </w:r>
          </w:p>
        </w:tc>
        <w:tc>
          <w:tcPr>
            <w:tcW w:w="1800" w:type="dxa"/>
          </w:tcPr>
          <w:p>
            <w:r>
              <w:t xml:space="preserve">{}</w:t>
            </w:r>
          </w:p>
        </w:tc>
        <w:tc>
          <w:tcPr>
            <w:tcW w:w="1800" w:type="dxa"/>
          </w:tcPr>
          <w:p>
            <w:r>
              <w:t xml:space="preserve">Caller-known constraints and hints.</w:t>
            </w:r>
          </w:p>
        </w:tc>
      </w:tr>
    </w:tbl>
    <w:p/>
    <w:p>
      <w:pPr>
        <w:pStyle w:val="Heading2"/>
      </w:pPr>
      <w:r>
        <w:t xml:space="preserve">Model mapping fields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1800"/>
        <w:gridCol w:w="1800"/>
        <w:gridCol w:w="1800"/>
        <w:gridCol w:w="1800"/>
      </w:tblGrid>
      <w:tr>
        <w:tc>
          <w:tcPr>
            <w:tcW w:w="1800" w:type="dxa"/>
          </w:tcPr>
          <w:p>
            <w:r>
              <w:t xml:space="preserve">Field</w:t>
            </w:r>
          </w:p>
        </w:tc>
        <w:tc>
          <w:tcPr>
            <w:tcW w:w="1800" w:type="dxa"/>
          </w:tcPr>
          <w:p>
            <w:r>
              <w:t xml:space="preserve">Type</w:t>
            </w:r>
          </w:p>
        </w:tc>
        <w:tc>
          <w:tcPr>
            <w:tcW w:w="1800" w:type="dxa"/>
          </w:tcPr>
          <w:p>
            <w:r>
              <w:t xml:space="preserve">Required</w:t>
            </w:r>
          </w:p>
        </w:tc>
        <w:tc>
          <w:tcPr>
            <w:tcW w:w="1800" w:type="dxa"/>
          </w:tcPr>
          <w:p>
            <w:r>
              <w:t xml:space="preserve">Default</w:t>
            </w:r>
          </w:p>
        </w:tc>
        <w:tc>
          <w:tcPr>
            <w:tcW w:w="1800" w:type="dxa"/>
          </w:tcPr>
          <w:p>
            <w:r>
              <w:t xml:space="preserve">Rules</w:t>
            </w:r>
          </w:p>
        </w:tc>
      </w:tr>
      <w:tr>
        <w:tc>
          <w:tcPr>
            <w:tcW w:w="1800" w:type="dxa"/>
          </w:tcPr>
          <w:p>
            <w:r>
              <w:t xml:space="preserve">local</w:t>
            </w:r>
          </w:p>
        </w:tc>
        <w:tc>
          <w:tcPr>
            <w:tcW w:w="1800" w:type="dxa"/>
          </w:tcPr>
          <w:p>
            <w:r>
              <w:t xml:space="preserve">array of strings</w:t>
            </w:r>
          </w:p>
        </w:tc>
        <w:tc>
          <w:tcPr>
            <w:tcW w:w="1800" w:type="dxa"/>
          </w:tcPr>
          <w:p>
            <w:r>
              <w:t xml:space="preserve">No</w:t>
            </w:r>
          </w:p>
        </w:tc>
        <w:tc>
          <w:tcPr>
            <w:tcW w:w="1800" w:type="dxa"/>
          </w:tcPr>
          <w:p>
            <w:r>
              <w:t xml:space="preserve">[]</w:t>
            </w:r>
          </w:p>
        </w:tc>
        <w:tc>
          <w:tcPr>
            <w:tcW w:w="1800" w:type="dxa"/>
          </w:tcPr>
          <w:p>
            <w:r>
              <w:t xml:space="preserve">Non-blank, unique names. Order preserved.</w:t>
            </w:r>
          </w:p>
        </w:tc>
      </w:tr>
      <w:tr>
        <w:tc>
          <w:tcPr>
            <w:tcW w:w="1800" w:type="dxa"/>
          </w:tcPr>
          <w:p>
            <w:r>
              <w:t xml:space="preserve">cloud</w:t>
            </w:r>
          </w:p>
        </w:tc>
        <w:tc>
          <w:tcPr>
            <w:tcW w:w="1800" w:type="dxa"/>
          </w:tcPr>
          <w:p>
            <w:r>
              <w:t xml:space="preserve">array of strings</w:t>
            </w:r>
          </w:p>
        </w:tc>
        <w:tc>
          <w:tcPr>
            <w:tcW w:w="1800" w:type="dxa"/>
          </w:tcPr>
          <w:p>
            <w:r>
              <w:t xml:space="preserve">No</w:t>
            </w:r>
          </w:p>
        </w:tc>
        <w:tc>
          <w:tcPr>
            <w:tcW w:w="1800" w:type="dxa"/>
          </w:tcPr>
          <w:p>
            <w:r>
              <w:t xml:space="preserve">[]</w:t>
            </w:r>
          </w:p>
        </w:tc>
        <w:tc>
          <w:tcPr>
            <w:tcW w:w="1800" w:type="dxa"/>
          </w:tcPr>
          <w:p>
            <w:r>
              <w:t xml:space="preserve">Non-blank, unique names. Order preserved.</w:t>
            </w:r>
          </w:p>
        </w:tc>
      </w:tr>
    </w:tbl>
    <w:p/>
    <w:p>
      <w:pPr>
        <w:pStyle w:val="Quote"/>
      </w:pPr>
      <w:r>
        <w:t xml:space="preserve">Omitted model_mapping and supplied model_mapping: {} have different meanings. If the request omits model_mapping, the response must not contain a suggested_models field for any target class, including fallback. The field is omitted entirely, not returned as null or []; RelayIQ does not supply default model suggestions. A supplied empty mapping makes both lanes ineligible and returns suggested_models: {"local":[],"cloud":[]} with a bounded fallback decision.</w:t>
      </w:r>
    </w:p>
    <w:p>
      <w:pPr>
        <w:pStyle w:val="Heading2"/>
      </w:pPr>
      <w:r>
        <w:t xml:space="preserve">Context fields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1800"/>
        <w:gridCol w:w="1800"/>
        <w:gridCol w:w="1800"/>
        <w:gridCol w:w="1800"/>
      </w:tblGrid>
      <w:tr>
        <w:tc>
          <w:tcPr>
            <w:tcW w:w="1800" w:type="dxa"/>
          </w:tcPr>
          <w:p>
            <w:r>
              <w:t xml:space="preserve">Field</w:t>
            </w:r>
          </w:p>
        </w:tc>
        <w:tc>
          <w:tcPr>
            <w:tcW w:w="1800" w:type="dxa"/>
          </w:tcPr>
          <w:p>
            <w:r>
              <w:t xml:space="preserve">Type</w:t>
            </w:r>
          </w:p>
        </w:tc>
        <w:tc>
          <w:tcPr>
            <w:tcW w:w="1800" w:type="dxa"/>
          </w:tcPr>
          <w:p>
            <w:r>
              <w:t xml:space="preserve">Required</w:t>
            </w:r>
          </w:p>
        </w:tc>
        <w:tc>
          <w:tcPr>
            <w:tcW w:w="1800" w:type="dxa"/>
          </w:tcPr>
          <w:p>
            <w:r>
              <w:t xml:space="preserve">Default</w:t>
            </w:r>
          </w:p>
        </w:tc>
        <w:tc>
          <w:tcPr>
            <w:tcW w:w="1800" w:type="dxa"/>
          </w:tcPr>
          <w:p>
            <w:r>
              <w:t xml:space="preserve">Meaning</w:t>
            </w:r>
          </w:p>
        </w:tc>
      </w:tr>
      <w:tr>
        <w:tc>
          <w:tcPr>
            <w:tcW w:w="1800" w:type="dxa"/>
          </w:tcPr>
          <w:p>
            <w:r>
              <w:t xml:space="preserve">connectivity</w:t>
            </w:r>
          </w:p>
        </w:tc>
        <w:tc>
          <w:tcPr>
            <w:tcW w:w="1800" w:type="dxa"/>
          </w:tcPr>
          <w:p>
            <w:r>
              <w:t xml:space="preserve">boolean</w:t>
            </w:r>
          </w:p>
        </w:tc>
        <w:tc>
          <w:tcPr>
            <w:tcW w:w="1800" w:type="dxa"/>
          </w:tcPr>
          <w:p>
            <w:r>
              <w:t xml:space="preserve">No</w:t>
            </w:r>
          </w:p>
        </w:tc>
        <w:tc>
          <w:tcPr>
            <w:tcW w:w="1800" w:type="dxa"/>
          </w:tcPr>
          <w:p>
            <w:r>
              <w:t xml:space="preserve">true</w:t>
            </w:r>
          </w:p>
        </w:tc>
        <w:tc>
          <w:tcPr>
            <w:tcW w:w="1800" w:type="dxa"/>
          </w:tcPr>
          <w:p>
            <w:r>
              <w:t xml:space="preserve">Cloud reachability. false excludes cloud.</w:t>
            </w:r>
          </w:p>
        </w:tc>
      </w:tr>
      <w:tr>
        <w:tc>
          <w:tcPr>
            <w:tcW w:w="1800" w:type="dxa"/>
          </w:tcPr>
          <w:p>
            <w:r>
              <w:t xml:space="preserve">cloud_budget_kb</w:t>
            </w:r>
          </w:p>
        </w:tc>
        <w:tc>
          <w:tcPr>
            <w:tcW w:w="1800" w:type="dxa"/>
          </w:tcPr>
          <w:p>
            <w:r>
              <w:t xml:space="preserve">finite number or null</w:t>
            </w:r>
          </w:p>
        </w:tc>
        <w:tc>
          <w:tcPr>
            <w:tcW w:w="1800" w:type="dxa"/>
          </w:tcPr>
          <w:p>
            <w:r>
              <w:t xml:space="preserve">No</w:t>
            </w:r>
          </w:p>
        </w:tc>
        <w:tc>
          <w:tcPr>
            <w:tcW w:w="1800" w:type="dxa"/>
          </w:tcPr>
          <w:p>
            <w:r>
              <w:t xml:space="preserve">null</w:t>
            </w:r>
          </w:p>
        </w:tc>
        <w:tc>
          <w:tcPr>
            <w:tcW w:w="1800" w:type="dxa"/>
          </w:tcPr>
          <w:p>
            <w:r>
              <w:t xml:space="preserve">Non-negative request budget. Usage = UTF-8 input bytes / 1024; equality is allowed.</w:t>
            </w:r>
          </w:p>
        </w:tc>
      </w:tr>
      <w:tr>
        <w:tc>
          <w:tcPr>
            <w:tcW w:w="1800" w:type="dxa"/>
          </w:tcPr>
          <w:p>
            <w:r>
              <w:t xml:space="preserve">required_capabilities</w:t>
            </w:r>
          </w:p>
        </w:tc>
        <w:tc>
          <w:tcPr>
            <w:tcW w:w="1800" w:type="dxa"/>
          </w:tcPr>
          <w:p>
            <w:r>
              <w:t xml:space="preserve">array of non-empty strings</w:t>
            </w:r>
          </w:p>
        </w:tc>
        <w:tc>
          <w:tcPr>
            <w:tcW w:w="1800" w:type="dxa"/>
          </w:tcPr>
          <w:p>
            <w:r>
              <w:t xml:space="preserve">No</w:t>
            </w:r>
          </w:p>
        </w:tc>
        <w:tc>
          <w:tcPr>
            <w:tcW w:w="1800" w:type="dxa"/>
          </w:tcPr>
          <w:p>
            <w:r>
              <w:t xml:space="preserve">[]</w:t>
            </w:r>
          </w:p>
        </w:tc>
        <w:tc>
          <w:tcPr>
            <w:tcW w:w="1800" w:type="dxa"/>
          </w:tcPr>
          <w:p>
            <w:r>
              <w:t xml:space="preserve">Accepted caller hints; the POC does not independently use them for eligibility.</w:t>
            </w:r>
          </w:p>
        </w:tc>
      </w:tr>
    </w:tbl>
    <w:p/>
    <w:p>
      <w:pPr>
        <w:pStyle w:val="Heading1"/>
      </w:pPr>
      <w:r>
        <w:t xml:space="preserve">3. Response</w:t>
      </w:r>
    </w:p>
    <w:p>
      <w:r>
        <w:t xml:space="preserve">A completed decision returns HTTP 200 and the following JSON shape.</w:t>
      </w:r>
    </w:p>
    <w:p>
      <w:pPr>
        <w:pStyle w:val="Heading2"/>
      </w:pPr>
      <w:r>
        <w:t xml:space="preserve">Example: healthy classification with sensitive data</w:t>
      </w:r>
    </w:p>
    <w:p>
      <w:pPr>
        <w:pStyle w:val="Quote"/>
      </w:pPr>
      <w:r>
        <w:t xml:space="preserve">{
  "decision_id": "7b8f0e54-3d73-4f27-93a2-78c82867bf9e",
  "target_class": "cloud_with_consent",
  "policy_revision": "relayiq-judge-v1",
  "requirements": {
    "consent_required": true
  },
  "fallback_action": "local",
  "reason_codes": ["PREFERENCE_HONORED", "SENSITIVE_DATA_DETECTED"],
  "classification": {
    "routine": false,
    "fresh_knowledge": false,
    "reasoning_heavy": true,
    "critical": false,
    "sensitive_data": true
  },
  "sensitive_data_types": ["email_address"],
  "explanation": "The cloud class is permitted and eligible; the judge requires caller consent.",
  "suggested_models": {
    "local": ["phi-4-mini"],
    "cloud": ["nvidia/nemotron-3.5-lightning-30b-a3b"]
  }
}</w:t>
      </w:r>
    </w:p>
    <w:p>
      <w:pPr>
        <w:pStyle w:val="Heading2"/>
      </w:pPr>
      <w:r>
        <w:t xml:space="preserve">Response fields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1800"/>
        <w:gridCol w:w="1800"/>
        <w:gridCol w:w="1800"/>
        <w:gridCol w:w="1800"/>
      </w:tblGrid>
      <w:tr>
        <w:tc>
          <w:tcPr>
            <w:tcW w:w="1800" w:type="dxa"/>
          </w:tcPr>
          <w:p>
            <w:r>
              <w:t xml:space="preserve">Field</w:t>
            </w:r>
          </w:p>
        </w:tc>
        <w:tc>
          <w:tcPr>
            <w:tcW w:w="1800" w:type="dxa"/>
          </w:tcPr>
          <w:p>
            <w:r>
              <w:t xml:space="preserve">Type</w:t>
            </w:r>
          </w:p>
        </w:tc>
        <w:tc>
          <w:tcPr>
            <w:tcW w:w="1800" w:type="dxa"/>
          </w:tcPr>
          <w:p>
            <w:r>
              <w:t xml:space="preserve">Required</w:t>
            </w:r>
          </w:p>
        </w:tc>
        <w:tc>
          <w:tcPr>
            <w:tcW w:w="1800" w:type="dxa"/>
          </w:tcPr>
          <w:p>
            <w:r>
              <w:t xml:space="preserve">Values</w:t>
            </w:r>
          </w:p>
        </w:tc>
        <w:tc>
          <w:tcPr>
            <w:tcW w:w="1800" w:type="dxa"/>
          </w:tcPr>
          <w:p>
            <w:r>
              <w:t xml:space="preserve">Meaning</w:t>
            </w:r>
          </w:p>
        </w:tc>
      </w:tr>
      <w:tr>
        <w:tc>
          <w:tcPr>
            <w:tcW w:w="1800" w:type="dxa"/>
          </w:tcPr>
          <w:p>
            <w:r>
              <w:t xml:space="preserve">decision_id</w:t>
            </w:r>
          </w:p>
        </w:tc>
        <w:tc>
          <w:tcPr>
            <w:tcW w:w="1800" w:type="dxa"/>
          </w:tcPr>
          <w:p>
            <w:r>
              <w:t xml:space="preserve">UUID string</w:t>
            </w:r>
          </w:p>
        </w:tc>
        <w:tc>
          <w:tcPr>
            <w:tcW w:w="1800" w:type="dxa"/>
          </w:tcPr>
          <w:p>
            <w:r>
              <w:t xml:space="preserve">Yes</w:t>
            </w:r>
          </w:p>
        </w:tc>
        <w:tc>
          <w:tcPr>
            <w:tcW w:w="1800" w:type="dxa"/>
          </w:tcPr>
          <w:p>
            <w:r>
              <w:t xml:space="preserve">Generated UUID</w:t>
            </w:r>
          </w:p>
        </w:tc>
        <w:tc>
          <w:tcPr>
            <w:tcW w:w="1800" w:type="dxa"/>
          </w:tcPr>
          <w:p>
            <w:r>
              <w:t xml:space="preserve">Unique identifier for this decision.</w:t>
            </w:r>
          </w:p>
        </w:tc>
      </w:tr>
      <w:tr>
        <w:tc>
          <w:tcPr>
            <w:tcW w:w="1800" w:type="dxa"/>
          </w:tcPr>
          <w:p>
            <w:r>
              <w:t xml:space="preserve">target_class</w:t>
            </w:r>
          </w:p>
        </w:tc>
        <w:tc>
          <w:tcPr>
            <w:tcW w:w="1800" w:type="dxa"/>
          </w:tcPr>
          <w:p>
            <w:r>
              <w:t xml:space="preserve">enum string</w:t>
            </w:r>
          </w:p>
        </w:tc>
        <w:tc>
          <w:tcPr>
            <w:tcW w:w="1800" w:type="dxa"/>
          </w:tcPr>
          <w:p>
            <w:r>
              <w:t xml:space="preserve">Yes</w:t>
            </w:r>
          </w:p>
        </w:tc>
        <w:tc>
          <w:tcPr>
            <w:tcW w:w="1800" w:type="dxa"/>
          </w:tcPr>
          <w:p>
            <w:r>
              <w:t xml:space="preserve">local | cloud | cloud_with_consent | fallback</w:t>
            </w:r>
          </w:p>
        </w:tc>
        <w:tc>
          <w:tcPr>
            <w:tcW w:w="1800" w:type="dxa"/>
          </w:tcPr>
          <w:p>
            <w:r>
              <w:t xml:space="preserve">Recommended lane or bounded no-primary-target result.</w:t>
            </w:r>
          </w:p>
        </w:tc>
      </w:tr>
      <w:tr>
        <w:tc>
          <w:tcPr>
            <w:tcW w:w="1800" w:type="dxa"/>
          </w:tcPr>
          <w:p>
            <w:r>
              <w:t xml:space="preserve">policy_revision</w:t>
            </w:r>
          </w:p>
        </w:tc>
        <w:tc>
          <w:tcPr>
            <w:tcW w:w="1800" w:type="dxa"/>
          </w:tcPr>
          <w:p>
            <w:r>
              <w:t xml:space="preserve">non-blank string</w:t>
            </w:r>
          </w:p>
        </w:tc>
        <w:tc>
          <w:tcPr>
            <w:tcW w:w="1800" w:type="dxa"/>
          </w:tcPr>
          <w:p>
            <w:r>
              <w:t xml:space="preserve">Yes</w:t>
            </w:r>
          </w:p>
        </w:tc>
        <w:tc>
          <w:tcPr>
            <w:tcW w:w="1800" w:type="dxa"/>
          </w:tcPr>
          <w:p>
            <w:r>
              <w:t xml:space="preserve">relayiq-judge-v1</w:t>
            </w:r>
          </w:p>
        </w:tc>
        <w:tc>
          <w:tcPr>
            <w:tcW w:w="1800" w:type="dxa"/>
          </w:tcPr>
          <w:p>
            <w:r>
              <w:t xml:space="preserve">Revision of the immutable policy snapshot used. Every successful decision has a known revision; an unavailable policy returns HTTP 500 instead.</w:t>
            </w:r>
          </w:p>
        </w:tc>
      </w:tr>
      <w:tr>
        <w:tc>
          <w:tcPr>
            <w:tcW w:w="1800" w:type="dxa"/>
          </w:tcPr>
          <w:p>
            <w:r>
              <w:t xml:space="preserve">requirements</w:t>
            </w:r>
          </w:p>
        </w:tc>
        <w:tc>
          <w:tcPr>
            <w:tcW w:w="1800" w:type="dxa"/>
          </w:tcPr>
          <w:p>
            <w:r>
              <w:t xml:space="preserve">object</w:t>
            </w:r>
          </w:p>
        </w:tc>
        <w:tc>
          <w:tcPr>
            <w:tcW w:w="1800" w:type="dxa"/>
          </w:tcPr>
          <w:p>
            <w:r>
              <w:t xml:space="preserve">Yes</w:t>
            </w:r>
          </w:p>
        </w:tc>
        <w:tc>
          <w:tcPr>
            <w:tcW w:w="1800" w:type="dxa"/>
          </w:tcPr>
          <w:p>
            <w:r>
              <w:t xml:space="preserve">{"consent_required":true}</w:t>
            </w:r>
          </w:p>
        </w:tc>
        <w:tc>
          <w:tcPr>
            <w:tcW w:w="1800" w:type="dxa"/>
          </w:tcPr>
          <w:p>
            <w:r>
              <w:t xml:space="preserve">Caller obligations before using the selected class.</w:t>
            </w:r>
          </w:p>
        </w:tc>
      </w:tr>
      <w:tr>
        <w:tc>
          <w:tcPr>
            <w:tcW w:w="1800" w:type="dxa"/>
          </w:tcPr>
          <w:p>
            <w:r>
              <w:t xml:space="preserve">fallback_action</w:t>
            </w:r>
          </w:p>
        </w:tc>
        <w:tc>
          <w:tcPr>
            <w:tcW w:w="1800" w:type="dxa"/>
          </w:tcPr>
          <w:p>
            <w:r>
              <w:t xml:space="preserve">enum string</w:t>
            </w:r>
          </w:p>
        </w:tc>
        <w:tc>
          <w:tcPr>
            <w:tcW w:w="1800" w:type="dxa"/>
          </w:tcPr>
          <w:p>
            <w:r>
              <w:t xml:space="preserve">Yes</w:t>
            </w:r>
          </w:p>
        </w:tc>
        <w:tc>
          <w:tcPr>
            <w:tcW w:w="1800" w:type="dxa"/>
          </w:tcPr>
          <w:p>
            <w:r>
              <w:t xml:space="preserve">local | stop</w:t>
            </w:r>
          </w:p>
        </w:tc>
        <w:tc>
          <w:tcPr>
            <w:tcW w:w="1800" w:type="dxa"/>
          </w:tcPr>
          <w:p>
            <w:r>
              <w:t xml:space="preserve">Allowed action when the recommendation cannot be completed.</w:t>
            </w:r>
          </w:p>
        </w:tc>
      </w:tr>
      <w:tr>
        <w:tc>
          <w:tcPr>
            <w:tcW w:w="1800" w:type="dxa"/>
          </w:tcPr>
          <w:p>
            <w:r>
              <w:t xml:space="preserve">reason_codes</w:t>
            </w:r>
          </w:p>
        </w:tc>
        <w:tc>
          <w:tcPr>
            <w:tcW w:w="1800" w:type="dxa"/>
          </w:tcPr>
          <w:p>
            <w:r>
              <w:t xml:space="preserve">non-empty array</w:t>
            </w:r>
          </w:p>
        </w:tc>
        <w:tc>
          <w:tcPr>
            <w:tcW w:w="1800" w:type="dxa"/>
          </w:tcPr>
          <w:p>
            <w:r>
              <w:t xml:space="preserve">Yes</w:t>
            </w:r>
          </w:p>
        </w:tc>
        <w:tc>
          <w:tcPr>
            <w:tcW w:w="1800" w:type="dxa"/>
          </w:tcPr>
          <w:p>
            <w:r>
              <w:t xml:space="preserve">See reason-code table</w:t>
            </w:r>
          </w:p>
        </w:tc>
        <w:tc>
          <w:tcPr>
            <w:tcW w:w="1800" w:type="dxa"/>
          </w:tcPr>
          <w:p>
            <w:r>
              <w:t xml:space="preserve">Stable machine-readable contributors. Duplicates are removed in order.</w:t>
            </w:r>
          </w:p>
        </w:tc>
      </w:tr>
      <w:tr>
        <w:tc>
          <w:tcPr>
            <w:tcW w:w="1800" w:type="dxa"/>
          </w:tcPr>
          <w:p>
            <w:r>
              <w:t xml:space="preserve">classification</w:t>
            </w:r>
          </w:p>
        </w:tc>
        <w:tc>
          <w:tcPr>
            <w:tcW w:w="1800" w:type="dxa"/>
          </w:tcPr>
          <w:p>
            <w:r>
              <w:t xml:space="preserve">object with five boolean fields</w:t>
            </w:r>
          </w:p>
        </w:tc>
        <w:tc>
          <w:tcPr>
            <w:tcW w:w="1800" w:type="dxa"/>
          </w:tcPr>
          <w:p>
            <w:r>
              <w:t xml:space="preserve">Conditional</w:t>
            </w:r>
          </w:p>
        </w:tc>
        <w:tc>
          <w:tcPr>
            <w:tcW w:w="1800" w:type="dxa"/>
          </w:tcPr>
          <w:p>
            <w:r>
              <w:t xml:space="preserve">routine, fresh_knowledge, reasoning_heavy, critical, sensitive_data</w:t>
            </w:r>
          </w:p>
        </w:tc>
        <w:tc>
          <w:tcPr>
            <w:tcW w:w="1800" w:type="dxa"/>
          </w:tcPr>
          <w:p>
            <w:r>
              <w:t xml:space="preserve">Required for a healthy Judge classification, regardless of target class. Omitted entirely when CLASSIFIER_DEGRADED is returned; never null or an empty object.</w:t>
            </w:r>
          </w:p>
        </w:tc>
      </w:tr>
      <w:tr>
        <w:tc>
          <w:tcPr>
            <w:tcW w:w="1800" w:type="dxa"/>
          </w:tcPr>
          <w:p>
            <w:r>
              <w:t xml:space="preserve">sensitive_data_types</w:t>
            </w:r>
          </w:p>
        </w:tc>
        <w:tc>
          <w:tcPr>
            <w:tcW w:w="1800" w:type="dxa"/>
          </w:tcPr>
          <w:p>
            <w:r>
              <w:t xml:space="preserve">non-empty array of unique category strings</w:t>
            </w:r>
          </w:p>
        </w:tc>
        <w:tc>
          <w:tcPr>
            <w:tcW w:w="1800" w:type="dxa"/>
          </w:tcPr>
          <w:p>
            <w:r>
              <w:t xml:space="preserve">Conditional</w:t>
            </w:r>
          </w:p>
        </w:tc>
        <w:tc>
          <w:tcPr>
            <w:tcW w:w="1800" w:type="dxa"/>
          </w:tcPr>
          <w:p>
            <w:r>
              <w:t xml:space="preserve">["email_address"]</w:t>
            </w:r>
          </w:p>
        </w:tc>
        <w:tc>
          <w:tcPr>
            <w:tcW w:w="1800" w:type="dxa"/>
          </w:tcPr>
          <w:p>
            <w:r>
              <w:t xml:space="preserve">Present exactly when SENSITIVE_DATA_DETECTED is returned. Omitted for no detection or CLASSIFIER_DEGRADED. See the classification rules below.</w:t>
            </w:r>
          </w:p>
        </w:tc>
      </w:tr>
      <w:tr>
        <w:tc>
          <w:tcPr>
            <w:tcW w:w="1800" w:type="dxa"/>
          </w:tcPr>
          <w:p>
            <w:r>
              <w:t xml:space="preserve">suggested_models</w:t>
            </w:r>
          </w:p>
        </w:tc>
        <w:tc>
          <w:tcPr>
            <w:tcW w:w="1800" w:type="dxa"/>
          </w:tcPr>
          <w:p>
            <w:r>
              <w:t xml:space="preserve">object with local and cloud arrays</w:t>
            </w:r>
          </w:p>
        </w:tc>
        <w:tc>
          <w:tcPr>
            <w:tcW w:w="1800" w:type="dxa"/>
          </w:tcPr>
          <w:p>
            <w:r>
              <w:t xml:space="preserve">Conditional</w:t>
            </w:r>
          </w:p>
        </w:tc>
        <w:tc>
          <w:tcPr>
            <w:tcW w:w="1800" w:type="dxa"/>
          </w:tcPr>
          <w:p>
            <w:r>
              <w:t xml:space="preserve">{"local":["phi-4-mini"],"cloud":["cloud-model"]}, or omitted</w:t>
            </w:r>
          </w:p>
        </w:tc>
        <w:tc>
          <w:tcPr>
            <w:tcW w:w="1800" w:type="dxa"/>
          </w:tcPr>
          <w:p>
            <w:r>
              <w:t xml:space="preserve">Omitted entirely when model_mapping is omitted, including for fallback. With a mapping, both arrays are required: normal recommendations preserve both request lists in order, regardless of the selected lane; missing request lanes become []. For fallback, both arrays are empty.</w:t>
            </w:r>
          </w:p>
        </w:tc>
      </w:tr>
      <w:tr>
        <w:tc>
          <w:tcPr>
            <w:tcW w:w="1800" w:type="dxa"/>
          </w:tcPr>
          <w:p>
            <w:r>
              <w:t xml:space="preserve">explanation</w:t>
            </w:r>
          </w:p>
        </w:tc>
        <w:tc>
          <w:tcPr>
            <w:tcW w:w="1800" w:type="dxa"/>
          </w:tcPr>
          <w:p>
            <w:r>
              <w:t xml:space="preserve">string</w:t>
            </w:r>
          </w:p>
        </w:tc>
        <w:tc>
          <w:tcPr>
            <w:tcW w:w="1800" w:type="dxa"/>
          </w:tcPr>
          <w:p>
            <w:r>
              <w:t xml:space="preserve">No</w:t>
            </w:r>
          </w:p>
        </w:tc>
        <w:tc>
          <w:tcPr>
            <w:tcW w:w="1800" w:type="dxa"/>
          </w:tcPr>
          <w:p>
            <w:r>
              <w:t xml:space="preserve">Human-readable text</w:t>
            </w:r>
          </w:p>
        </w:tc>
        <w:tc>
          <w:tcPr>
            <w:tcW w:w="1800" w:type="dxa"/>
          </w:tcPr>
          <w:p>
            <w:r>
              <w:t xml:space="preserve">Summary only; not a machine-readable decision signal.</w:t>
            </w:r>
          </w:p>
        </w:tc>
      </w:tr>
    </w:tbl>
    <w:p/>
    <w:p>
      <w:pPr>
        <w:pStyle w:val="Heading2"/>
      </w:pPr>
      <w:r>
        <w:t xml:space="preserve">Suggested model inventory</w:t>
      </w:r>
    </w:p>
    <w:p>
      <w:r>
        <w:t xml:space="preserve">When present, suggested_models contains exactly local and cloud, each an array of non-blank strings, unique within its own lane. The same model name may appear in both lanes. Neither lane may be omitted or null. The earlier flat-array form is invalid.</w:t>
      </w:r>
    </w:p>
    <w:p>
      <w:r>
        <w:t xml:space="preserve">These lists describe caller-provided inventory, not permission or availability. A local recommendation still includes the caller's cloud models even if cloud is excluded by policy, connectivity, or budget. Likewise a cloud recommendation includes the caller's local models. Only the recommended lane must be non-empty. Follow target_class, consent requirements, and fallback_action; do not execute an unselected lane merely because its models are listed.</w:t>
      </w:r>
    </w:p>
    <w:p>
      <w:pPr>
        <w:pStyle w:val="Heading2"/>
      </w:pPr>
      <w:r>
        <w:t xml:space="preserve">Requirements fields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50"/>
        <w:gridCol w:w="2250"/>
        <w:gridCol w:w="2250"/>
        <w:gridCol w:w="2250"/>
      </w:tblGrid>
      <w:tr>
        <w:tc>
          <w:tcPr>
            <w:tcW w:w="2250" w:type="dxa"/>
          </w:tcPr>
          <w:p>
            <w:r>
              <w:t xml:space="preserve">Field</w:t>
            </w:r>
          </w:p>
        </w:tc>
        <w:tc>
          <w:tcPr>
            <w:tcW w:w="2250" w:type="dxa"/>
          </w:tcPr>
          <w:p>
            <w:r>
              <w:t xml:space="preserve">Type</w:t>
            </w:r>
          </w:p>
        </w:tc>
        <w:tc>
          <w:tcPr>
            <w:tcW w:w="2250" w:type="dxa"/>
          </w:tcPr>
          <w:p>
            <w:r>
              <w:t xml:space="preserve">Required</w:t>
            </w:r>
          </w:p>
        </w:tc>
        <w:tc>
          <w:tcPr>
            <w:tcW w:w="2250" w:type="dxa"/>
          </w:tcPr>
          <w:p>
            <w:r>
              <w:t xml:space="preserve">Invariant</w:t>
            </w:r>
          </w:p>
        </w:tc>
      </w:tr>
      <w:tr>
        <w:tc>
          <w:tcPr>
            <w:tcW w:w="2250" w:type="dxa"/>
          </w:tcPr>
          <w:p>
            <w:r>
              <w:t xml:space="preserve">consent_required</w:t>
            </w:r>
          </w:p>
        </w:tc>
        <w:tc>
          <w:tcPr>
            <w:tcW w:w="2250" w:type="dxa"/>
          </w:tcPr>
          <w:p>
            <w:r>
              <w:t xml:space="preserve">boolean</w:t>
            </w:r>
          </w:p>
        </w:tc>
        <w:tc>
          <w:tcPr>
            <w:tcW w:w="2250" w:type="dxa"/>
          </w:tcPr>
          <w:p>
            <w:r>
              <w:t xml:space="preserve">Yes</w:t>
            </w:r>
          </w:p>
        </w:tc>
        <w:tc>
          <w:tcPr>
            <w:tcW w:w="2250" w:type="dxa"/>
          </w:tcPr>
          <w:p>
            <w:r>
              <w:t xml:space="preserve">true exactly for cloud_with_consent; false for every other target. The Judge decides from the prompt and request context.</w:t>
            </w:r>
          </w:p>
        </w:tc>
      </w:tr>
    </w:tbl>
    <w:p/>
    <w:p>
      <w:pPr>
        <w:pStyle w:val="Heading2"/>
      </w:pPr>
      <w:r>
        <w:t xml:space="preserve">Classification fields</w:t>
      </w:r>
    </w:p>
    <w:p>
      <w:r>
        <w:t xml:space="preserve">classification reports the Judge's assessment of the input and request context, not the final placement decision. When present, it contains exactly the five fields below, each required and a strict JSON boolean. Missing fields, extra fields, strings, numbers, and null are invalid. Do not infer these flags from the selected target or substitute defaults for unavailable Judge output.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000"/>
        <w:gridCol w:w="3000"/>
        <w:gridCol w:w="3000"/>
      </w:tblGrid>
      <w:tr>
        <w:tc>
          <w:tcPr>
            <w:tcW w:w="3000" w:type="dxa"/>
          </w:tcPr>
          <w:p>
            <w:r>
              <w:t xml:space="preserve">Field</w:t>
            </w:r>
          </w:p>
        </w:tc>
        <w:tc>
          <w:tcPr>
            <w:tcW w:w="3000" w:type="dxa"/>
          </w:tcPr>
          <w:p>
            <w:r>
              <w:t xml:space="preserve">Type</w:t>
            </w:r>
          </w:p>
        </w:tc>
        <w:tc>
          <w:tcPr>
            <w:tcW w:w="3000" w:type="dxa"/>
          </w:tcPr>
          <w:p>
            <w:r>
              <w:t xml:space="preserve">Meaning when true</w:t>
            </w:r>
          </w:p>
        </w:tc>
      </w:tr>
      <w:tr>
        <w:tc>
          <w:tcPr>
            <w:tcW w:w="3000" w:type="dxa"/>
          </w:tcPr>
          <w:p>
            <w:r>
              <w:t xml:space="preserve">routine</w:t>
            </w:r>
          </w:p>
        </w:tc>
        <w:tc>
          <w:tcPr>
            <w:tcW w:w="3000" w:type="dxa"/>
          </w:tcPr>
          <w:p>
            <w:r>
              <w:t xml:space="preserve">boolean</w:t>
            </w:r>
          </w:p>
        </w:tc>
        <w:tc>
          <w:tcPr>
            <w:tcW w:w="3000" w:type="dxa"/>
          </w:tcPr>
          <w:p>
            <w:r>
              <w:t xml:space="preserve">The Judge assesses the request as routine, straightforward work.</w:t>
            </w:r>
          </w:p>
        </w:tc>
      </w:tr>
      <w:tr>
        <w:tc>
          <w:tcPr>
            <w:tcW w:w="3000" w:type="dxa"/>
          </w:tcPr>
          <w:p>
            <w:r>
              <w:t xml:space="preserve">fresh_knowledge</w:t>
            </w:r>
          </w:p>
        </w:tc>
        <w:tc>
          <w:tcPr>
            <w:tcW w:w="3000" w:type="dxa"/>
          </w:tcPr>
          <w:p>
            <w:r>
              <w:t xml:space="preserve">boolean</w:t>
            </w:r>
          </w:p>
        </w:tc>
        <w:tc>
          <w:tcPr>
            <w:tcW w:w="3000" w:type="dxa"/>
          </w:tcPr>
          <w:p>
            <w:r>
              <w:t xml:space="preserve">A correct answer requires current or up-to-date information.</w:t>
            </w:r>
          </w:p>
        </w:tc>
      </w:tr>
      <w:tr>
        <w:tc>
          <w:tcPr>
            <w:tcW w:w="3000" w:type="dxa"/>
          </w:tcPr>
          <w:p>
            <w:r>
              <w:t xml:space="preserve">reasoning_heavy</w:t>
            </w:r>
          </w:p>
        </w:tc>
        <w:tc>
          <w:tcPr>
            <w:tcW w:w="3000" w:type="dxa"/>
          </w:tcPr>
          <w:p>
            <w:r>
              <w:t xml:space="preserve">boolean</w:t>
            </w:r>
          </w:p>
        </w:tc>
        <w:tc>
          <w:tcPr>
            <w:tcW w:w="3000" w:type="dxa"/>
          </w:tcPr>
          <w:p>
            <w:r>
              <w:t xml:space="preserve">The request requires deep or substantial multi-step reasoning.</w:t>
            </w:r>
          </w:p>
        </w:tc>
      </w:tr>
      <w:tr>
        <w:tc>
          <w:tcPr>
            <w:tcW w:w="3000" w:type="dxa"/>
          </w:tcPr>
          <w:p>
            <w:r>
              <w:t xml:space="preserve">critical</w:t>
            </w:r>
          </w:p>
        </w:tc>
        <w:tc>
          <w:tcPr>
            <w:tcW w:w="3000" w:type="dxa"/>
          </w:tcPr>
          <w:p>
            <w:r>
              <w:t xml:space="preserve">boolean</w:t>
            </w:r>
          </w:p>
        </w:tc>
        <w:tc>
          <w:tcPr>
            <w:tcW w:w="3000" w:type="dxa"/>
          </w:tcPr>
          <w:p>
            <w:r>
              <w:t xml:space="preserve">The request concerns an immediate real-world threat to physical health, life, or safety.</w:t>
            </w:r>
          </w:p>
        </w:tc>
      </w:tr>
      <w:tr>
        <w:tc>
          <w:tcPr>
            <w:tcW w:w="3000" w:type="dxa"/>
          </w:tcPr>
          <w:p>
            <w:r>
              <w:t xml:space="preserve">sensitive_data</w:t>
            </w:r>
          </w:p>
        </w:tc>
        <w:tc>
          <w:tcPr>
            <w:tcW w:w="3000" w:type="dxa"/>
          </w:tcPr>
          <w:p>
            <w:r>
              <w:t xml:space="preserve">boolean</w:t>
            </w:r>
          </w:p>
        </w:tc>
        <w:tc>
          <w:tcPr>
            <w:tcW w:w="3000" w:type="dxa"/>
          </w:tcPr>
          <w:p>
            <w:r>
              <w:t xml:space="preserve">The Judge detected data within its active sensitivity scope in the input or request context. The current relayiq-judge-v1 scope is email addresses only.</w:t>
            </w:r>
          </w:p>
        </w:tc>
      </w:tr>
    </w:tbl>
    <w:p/>
    <w:p>
      <w:r>
        <w:t xml:space="preserve">These are classification signals, not mutually exclusive target classes. This contract does not define routine as the negation of another flag. Policy and caller constraints still determine placement. critical does not authorize cloud disclosure, and sensitive_data does not replace requirements.consent_required.</w:t>
      </w:r>
    </w:p>
    <w:p>
      <w:r>
        <w:t xml:space="preserve">For healthy classification, classification.sensitive_data is true if and only if SENSITIVE_DATA_DETECTED and a non-empty sensitive_data_types array are returned. When it is false, omit both the reason code and category field. For CLASSIFIER_DEGRADED, omit the entire classification object as well as both sensitivity findings; do not report unavailable sensitivity as false. These rules apply to all completed decisions, including local and fallback. Error envelopes remain unchanged.</w:t>
      </w:r>
    </w:p>
    <w:p>
      <w:pPr>
        <w:pStyle w:val="Heading2"/>
      </w:pPr>
      <w:r>
        <w:t xml:space="preserve">Sensitive-data classification rules</w:t>
      </w:r>
    </w:p>
    <w:p>
      <w:r>
        <w:t xml:space="preserve">The current relayiq-judge-v1 Judge uses LLM-based email detection: return a positive sensitivity finding only when at least one actual email address is detected in the input or supplied context. Positive findings use exactly ["email_address"], once even for multiple addresses. Names, social security numbers, employee IDs, phone numbers, financial data, confidential text, and mentions of email without an address do not independently trigger the finding. An email alongside other data still qualifies. Out-of-scope positive categories or invalid model assessments produce CLASSIFIER_DEGRADED with findings omitted, not a fabricated negative. Consent remains independent and may be required for non-email confidential data. This scope does not narrow the caller's redaction or disclosure obligations.
sensitive_data_types describes the types of sensitive data the Judge detected in the supplied input and request context. Each value is a non-blank snake_case identifier matching ^[a-z][a-z0-9]*(?:_[a-z0-9]+)*$. The vocabulary is extensible: email_address is the only category emitted by the current Judge. Future Judge versions may add categories such as social_security_number or employee_id; these are not a closed enum. Callers must tolerate additional category identifiers. Values must be unique; array order has no semantic significance.</w:t>
      </w:r>
    </w:p>
    <w:p>
      <w:r>
        <w:t xml:space="preserve">Return only category labels, never detected values, snippets, personal identifiers, or offsets. The field is present if and only if reason_codes contains SENSITIVE_DATA_DETECTED. It must not be null or an empty array, and no unavailability sentinel is used.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50"/>
        <w:gridCol w:w="2250"/>
        <w:gridCol w:w="2250"/>
        <w:gridCol w:w="2250"/>
      </w:tblGrid>
      <w:tr>
        <w:tc>
          <w:tcPr>
            <w:tcW w:w="2250" w:type="dxa"/>
          </w:tcPr>
          <w:p>
            <w:r>
              <w:t xml:space="preserve">Assessment</w:t>
            </w:r>
          </w:p>
        </w:tc>
        <w:tc>
          <w:tcPr>
            <w:tcW w:w="2250" w:type="dxa"/>
          </w:tcPr>
          <w:p>
            <w:r>
              <w:t xml:space="preserve">SENSITIVE_DATA_DETECTED</w:t>
            </w:r>
          </w:p>
        </w:tc>
        <w:tc>
          <w:tcPr>
            <w:tcW w:w="2250" w:type="dxa"/>
          </w:tcPr>
          <w:p>
            <w:r>
              <w:t xml:space="preserve">sensitive_data_types</w:t>
            </w:r>
          </w:p>
        </w:tc>
        <w:tc>
          <w:tcPr>
            <w:tcW w:w="2250" w:type="dxa"/>
          </w:tcPr>
          <w:p>
            <w:r>
              <w:t xml:space="preserve">CLASSIFIER_DEGRADED</w:t>
            </w:r>
          </w:p>
        </w:tc>
      </w:tr>
      <w:tr>
        <w:tc>
          <w:tcPr>
            <w:tcW w:w="2250" w:type="dxa"/>
          </w:tcPr>
          <w:p>
            <w:r>
              <w:t xml:space="preserve">Healthy, sensitive data detected</w:t>
            </w:r>
          </w:p>
        </w:tc>
        <w:tc>
          <w:tcPr>
            <w:tcW w:w="2250" w:type="dxa"/>
          </w:tcPr>
          <w:p>
            <w:r>
              <w:t xml:space="preserve">Present</w:t>
            </w:r>
          </w:p>
        </w:tc>
        <w:tc>
          <w:tcPr>
            <w:tcW w:w="2250" w:type="dxa"/>
          </w:tcPr>
          <w:p>
            <w:r>
              <w:t xml:space="preserve">Non-empty unique category array</w:t>
            </w:r>
          </w:p>
        </w:tc>
        <w:tc>
          <w:tcPr>
            <w:tcW w:w="2250" w:type="dxa"/>
          </w:tcPr>
          <w:p>
            <w:r>
              <w:t xml:space="preserve">Absent</w:t>
            </w:r>
          </w:p>
        </w:tc>
      </w:tr>
      <w:tr>
        <w:tc>
          <w:tcPr>
            <w:tcW w:w="2250" w:type="dxa"/>
          </w:tcPr>
          <w:p>
            <w:r>
              <w:t xml:space="preserve">Healthy, no sensitive data detected</w:t>
            </w:r>
          </w:p>
        </w:tc>
        <w:tc>
          <w:tcPr>
            <w:tcW w:w="2250" w:type="dxa"/>
          </w:tcPr>
          <w:p>
            <w:r>
              <w:t xml:space="preserve">Absent</w:t>
            </w:r>
          </w:p>
        </w:tc>
        <w:tc>
          <w:tcPr>
            <w:tcW w:w="2250" w:type="dxa"/>
          </w:tcPr>
          <w:p>
            <w:r>
              <w:t xml:space="preserve">Omitted</w:t>
            </w:r>
          </w:p>
        </w:tc>
        <w:tc>
          <w:tcPr>
            <w:tcW w:w="2250" w:type="dxa"/>
          </w:tcPr>
          <w:p>
            <w:r>
              <w:t xml:space="preserve">Absent</w:t>
            </w:r>
          </w:p>
        </w:tc>
      </w:tr>
      <w:tr>
        <w:tc>
          <w:tcPr>
            <w:tcW w:w="2250" w:type="dxa"/>
          </w:tcPr>
          <w:p>
            <w:r>
              <w:t xml:space="preserve">Degraded</w:t>
            </w:r>
          </w:p>
        </w:tc>
        <w:tc>
          <w:tcPr>
            <w:tcW w:w="2250" w:type="dxa"/>
          </w:tcPr>
          <w:p>
            <w:r>
              <w:t xml:space="preserve">Absent</w:t>
            </w:r>
          </w:p>
        </w:tc>
        <w:tc>
          <w:tcPr>
            <w:tcW w:w="2250" w:type="dxa"/>
          </w:tcPr>
          <w:p>
            <w:r>
              <w:t xml:space="preserve">Omitted</w:t>
            </w:r>
          </w:p>
        </w:tc>
        <w:tc>
          <w:tcPr>
            <w:tcW w:w="2250" w:type="dxa"/>
          </w:tcPr>
          <w:p>
            <w:r>
              <w:t xml:space="preserve">Present</w:t>
            </w:r>
          </w:p>
        </w:tc>
      </w:tr>
    </w:tbl>
    <w:p/>
    <w:p>
      <w:r>
        <w:t xml:space="preserve">CLASSIFIER_DEGRADED is mutually exclusive with both SENSITIVE_DATA_DETECTED and sensitive_data_types, even if a heuristic suggests a category. Omission does not guarantee that the input is safe; for degraded classification it means sensitivity findings are unavailable, not that no sensitive data exists. Sensitivity findings describe the request independently of the selected target, including local or fallback. They do not themselves select cloud, change the consent invariant, or introduce a new automatic fallback rule.</w:t>
      </w:r>
    </w:p>
    <w:p>
      <w:pPr>
        <w:pStyle w:val="Heading2"/>
      </w:pPr>
      <w:r>
        <w:t xml:space="preserve">Example: healthy local recommendation with both model lists</w:t>
      </w:r>
    </w:p>
    <w:p>
      <w:pPr>
        <w:pStyle w:val="Quote"/>
      </w:pPr>
      <w:r>
        <w:t xml:space="preserve">{
  "decision_id": "24637966-b86b-4f43-9b23-43ad7311b783",
  "target_class": "local",
  "policy_revision": "relayiq-judge-v1",
  "requirements": {"consent_required": false},
  "fallback_action": "local",
  "reason_codes": ["LOCAL_CAPABILITY_SUFFICIENT"],
  "classification": {
    "routine": true,
    "fresh_knowledge": false,
    "reasoning_heavy": false,
    "critical": false,
    "sensitive_data": false
  },
  "explanation": "The local class is permitted and eligible.",
  "suggested_models": {
    "local": ["phi-4-mini"],
    "cloud": ["nvidia/nemotron-3.5-lightning-30b-a3b"]
  }
}</w:t>
      </w:r>
    </w:p>
    <w:p>
      <w:pPr>
        <w:pStyle w:val="Heading2"/>
      </w:pPr>
      <w:r>
        <w:t xml:space="preserve">Example: degraded classification</w:t>
      </w:r>
    </w:p>
    <w:p>
      <w:pPr>
        <w:pStyle w:val="Quote"/>
      </w:pPr>
      <w:r>
        <w:t xml:space="preserve">{
  "decision_id": "0b53c474-cb1a-48ad-8a44-e494586a0915",
  "target_class": "local",
  "policy_revision": "relayiq-judge-v1",
  "requirements": {"consent_required": false},
  "fallback_action": "local",
  "reason_codes": ["LOCAL_CAPABILITY_SUFFICIENT", "CLASSIFIER_DEGRADED"],
  "explanation": "The local class is permitted and eligible; sensitivity findings are unavailable."
}</w:t>
      </w:r>
    </w:p>
    <w:p>
      <w:r>
        <w:t xml:space="preserve">These response examples illustrate separate decisions, not a shared result for the request example above. The healthy examples assume both model lists were supplied. The degraded example assumes the request omitted model_mapping, so its response omits suggested_models.</w:t>
      </w:r>
    </w:p>
    <w:p>
      <w:pPr>
        <w:pStyle w:val="Heading1"/>
      </w:pPr>
      <w:r>
        <w:t xml:space="preserve">4. Selection and fallback behavior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000"/>
        <w:gridCol w:w="3000"/>
        <w:gridCol w:w="3000"/>
      </w:tblGrid>
      <w:tr>
        <w:tc>
          <w:tcPr>
            <w:tcW w:w="3000" w:type="dxa"/>
          </w:tcPr>
          <w:p>
            <w:r>
              <w:t xml:space="preserve">Outcome</w:t>
            </w:r>
          </w:p>
        </w:tc>
        <w:tc>
          <w:tcPr>
            <w:tcW w:w="3000" w:type="dxa"/>
          </w:tcPr>
          <w:p>
            <w:r>
              <w:t xml:space="preserve">Eligibility and meaning</w:t>
            </w:r>
          </w:p>
        </w:tc>
        <w:tc>
          <w:tcPr>
            <w:tcW w:w="3000" w:type="dxa"/>
          </w:tcPr>
          <w:p>
            <w:r>
              <w:t xml:space="preserve">Required relationships</w:t>
            </w:r>
          </w:p>
        </w:tc>
      </w:tr>
      <w:tr>
        <w:tc>
          <w:tcPr>
            <w:tcW w:w="3000" w:type="dxa"/>
          </w:tcPr>
          <w:p>
            <w:r>
              <w:t xml:space="preserve">local</w:t>
            </w:r>
          </w:p>
        </w:tc>
        <w:tc>
          <w:tcPr>
            <w:tcW w:w="3000" w:type="dxa"/>
          </w:tcPr>
          <w:p>
            <w:r>
              <w:t xml:space="preserve">Policy-permitted and, when mapped, has at least one local model.</w:t>
            </w:r>
          </w:p>
        </w:tc>
        <w:tc>
          <w:tcPr>
            <w:tcW w:w="3000" w:type="dxa"/>
          </w:tcPr>
          <w:p>
            <w:r>
              <w:t xml:space="preserve">consent_required is false. If suggestions are present, suggested_models.local is non-empty and cloud preserves the caller's cloud list.</w:t>
            </w:r>
          </w:p>
        </w:tc>
      </w:tr>
      <w:tr>
        <w:tc>
          <w:tcPr>
            <w:tcW w:w="3000" w:type="dxa"/>
          </w:tcPr>
          <w:p>
            <w:r>
              <w:t xml:space="preserve">cloud</w:t>
            </w:r>
          </w:p>
        </w:tc>
        <w:tc>
          <w:tcPr>
            <w:tcW w:w="3000" w:type="dxa"/>
          </w:tcPr>
          <w:p>
            <w:r>
              <w:t xml:space="preserve">Cloud is policy-permitted, has inventory when mapped, has connectivity, and fits the request budget.</w:t>
            </w:r>
          </w:p>
        </w:tc>
        <w:tc>
          <w:tcPr>
            <w:tcW w:w="3000" w:type="dxa"/>
          </w:tcPr>
          <w:p>
            <w:r>
              <w:t xml:space="preserve">consent_required is false. If suggestions are present, suggested_models.cloud is non-empty and local preserves the caller's local list.</w:t>
            </w:r>
          </w:p>
        </w:tc>
      </w:tr>
      <w:tr>
        <w:tc>
          <w:tcPr>
            <w:tcW w:w="3000" w:type="dxa"/>
          </w:tcPr>
          <w:p>
            <w:r>
              <w:t xml:space="preserve">cloud_with_consent</w:t>
            </w:r>
          </w:p>
        </w:tc>
        <w:tc>
          <w:tcPr>
            <w:tcW w:w="3000" w:type="dxa"/>
          </w:tcPr>
          <w:p>
            <w:r>
              <w:t xml:space="preserve">The cloud lane is eligible and the Judge determines that this request requires explicit caller approval.</w:t>
            </w:r>
          </w:p>
        </w:tc>
        <w:tc>
          <w:tcPr>
            <w:tcW w:w="3000" w:type="dxa"/>
          </w:tcPr>
          <w:p>
            <w:r>
              <w:t xml:space="preserve">consent_required is true. If suggestions are present, suggested_models.cloud is non-empty and local preserves the caller's local list.</w:t>
            </w:r>
          </w:p>
        </w:tc>
      </w:tr>
      <w:tr>
        <w:tc>
          <w:tcPr>
            <w:tcW w:w="3000" w:type="dxa"/>
          </w:tcPr>
          <w:p>
            <w:r>
              <w:t xml:space="preserve">fallback</w:t>
            </w:r>
          </w:p>
        </w:tc>
        <w:tc>
          <w:tcPr>
            <w:tcW w:w="3000" w:type="dxa"/>
          </w:tcPr>
          <w:p>
            <w:r>
              <w:t xml:space="preserve">A known policy was evaluated, but neither desired nor alternative target is eligible, or policy explicitly blocks model use.</w:t>
            </w:r>
          </w:p>
        </w:tc>
        <w:tc>
          <w:tcPr>
            <w:tcW w:w="3000" w:type="dxa"/>
          </w:tcPr>
          <w:p>
            <w:r>
              <w:t xml:space="preserve">consent_required is false; suggestions are omitted when no mapping was supplied, otherwise {"local":[],"cloud":[]}. Policy blocks require stop. Policy unavailability is HTTP 500, not fallback.</w:t>
            </w:r>
          </w:p>
        </w:tc>
      </w:tr>
    </w:tbl>
    <w:p>
      <w:pPr/>
    </w:p>
    <w:p>
      <w:pPr/>
      <w:r>
        <w:t xml:space="preserve">RelayIQ chooses the desired class from preferred_target_class, when present, or from classifier/policy routing. It selects that class if eligible, otherwise tries the other class, and returns fallback if neither is eligible.</w:t>
      </w:r>
    </w:p>
    <w:p>
      <w:pPr/>
      <w:r>
        <w:t xml:space="preserve">fallback_action "local" is available only when local failure handling is policy-permitted and local is eligible for the relevant outcome. Otherwise the action is "stop".</w:t>
      </w:r>
    </w:p>
    <w:p>
      <w:pPr>
        <w:pStyle w:val="Heading1"/>
      </w:pPr>
      <w:r>
        <w:t xml:space="preserve">5. Reason codes</w:t>
      </w:r>
    </w:p>
    <w:p>
      <w:r>
        <w:t xml:space="preserve">Multiple codes may be returned because several constraints can contribute to one decision.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00"/>
        <w:gridCol w:w="4500"/>
      </w:tblGrid>
      <w:tr>
        <w:tc>
          <w:tcPr>
            <w:tcW w:w="4500" w:type="dxa"/>
          </w:tcPr>
          <w:p>
            <w:r>
              <w:t xml:space="preserve">Code</w:t>
            </w:r>
          </w:p>
        </w:tc>
        <w:tc>
          <w:tcPr>
            <w:tcW w:w="4500" w:type="dxa"/>
          </w:tcPr>
          <w:p>
            <w:r>
              <w:t xml:space="preserve">Meaning</w:t>
            </w:r>
          </w:p>
        </w:tc>
      </w:tr>
      <w:tr>
        <w:tc>
          <w:tcPr>
            <w:tcW w:w="4500" w:type="dxa"/>
          </w:tcPr>
          <w:p>
            <w:r>
              <w:t xml:space="preserve">LOCAL_CAPABILITY_SUFFICIENT</w:t>
            </w:r>
          </w:p>
        </w:tc>
        <w:tc>
          <w:tcPr>
            <w:tcW w:w="4500" w:type="dxa"/>
          </w:tcPr>
          <w:p>
            <w:r>
              <w:t xml:space="preserve">Classifier/policy routing selected an eligible local class without an explicit preference.</w:t>
            </w:r>
          </w:p>
        </w:tc>
      </w:tr>
      <w:tr>
        <w:tc>
          <w:tcPr>
            <w:tcW w:w="4500" w:type="dxa"/>
          </w:tcPr>
          <w:p>
            <w:r>
              <w:t xml:space="preserve">CLOUD_CAPABILITY_REQUIRED</w:t>
            </w:r>
          </w:p>
        </w:tc>
        <w:tc>
          <w:tcPr>
            <w:tcW w:w="4500" w:type="dxa"/>
          </w:tcPr>
          <w:p>
            <w:r>
              <w:t xml:space="preserve">Classifier/policy routing selected an eligible cloud class without an explicit preference.</w:t>
            </w:r>
          </w:p>
        </w:tc>
      </w:tr>
      <w:tr>
        <w:tc>
          <w:tcPr>
            <w:tcW w:w="4500" w:type="dxa"/>
          </w:tcPr>
          <w:p>
            <w:r>
              <w:t xml:space="preserve">SENSITIVE_DATA_DETECTED</w:t>
            </w:r>
          </w:p>
        </w:tc>
        <w:tc>
          <w:tcPr>
            <w:tcW w:w="4500" w:type="dxa"/>
          </w:tcPr>
          <w:p>
            <w:r>
              <w:t xml:space="preserve">The non-degraded Judge positively detected sensitive data. Must accompany a non-empty sensitive_data_types array and must not accompany CLASSIFIER_DEGRADED.</w:t>
            </w:r>
          </w:p>
        </w:tc>
      </w:tr>
      <w:tr>
        <w:tc>
          <w:tcPr>
            <w:tcW w:w="4500" w:type="dxa"/>
          </w:tcPr>
          <w:p>
            <w:r>
              <w:t xml:space="preserve">CONNECTIVITY_UNAVAILABLE</w:t>
            </w:r>
          </w:p>
        </w:tc>
        <w:tc>
          <w:tcPr>
            <w:tcW w:w="4500" w:type="dxa"/>
          </w:tcPr>
          <w:p>
            <w:r>
              <w:t xml:space="preserve">Cloud was relevant but the caller reported no connectivity.</w:t>
            </w:r>
          </w:p>
        </w:tc>
      </w:tr>
      <w:tr>
        <w:tc>
          <w:tcPr>
            <w:tcW w:w="4500" w:type="dxa"/>
          </w:tcPr>
          <w:p>
            <w:r>
              <w:t xml:space="preserve">CLOUD_BUDGET_EXCEEDED</w:t>
            </w:r>
          </w:p>
        </w:tc>
        <w:tc>
          <w:tcPr>
            <w:tcW w:w="4500" w:type="dxa"/>
          </w:tcPr>
          <w:p>
            <w:r>
              <w:t xml:space="preserve">Original UTF-8 input size exceeded cloud_budget_kb.</w:t>
            </w:r>
          </w:p>
        </w:tc>
      </w:tr>
      <w:tr>
        <w:tc>
          <w:tcPr>
            <w:tcW w:w="4500" w:type="dxa"/>
          </w:tcPr>
          <w:p>
            <w:r>
              <w:t xml:space="preserve">CLASSIFIER_DEGRADED</w:t>
            </w:r>
          </w:p>
        </w:tc>
        <w:tc>
          <w:tcPr>
            <w:tcW w:w="4500" w:type="dxa"/>
          </w:tcPr>
          <w:p>
            <w:r>
              <w:t xml:space="preserve">The classifier used its degraded or deterministic path. Omit classification, SENSITIVE_DATA_DETECTED, and sensitive_data_types; this is not a finding that the request contains no sensitive data.</w:t>
            </w:r>
          </w:p>
        </w:tc>
      </w:tr>
      <w:tr>
        <w:tc>
          <w:tcPr>
            <w:tcW w:w="4500" w:type="dxa"/>
          </w:tcPr>
          <w:p>
            <w:r>
              <w:t xml:space="preserve">PREFERENCE_HONORED</w:t>
            </w:r>
          </w:p>
        </w:tc>
        <w:tc>
          <w:tcPr>
            <w:tcW w:w="4500" w:type="dxa"/>
          </w:tcPr>
          <w:p>
            <w:r>
              <w:t xml:space="preserve">The explicit preferred target class was selected.</w:t>
            </w:r>
          </w:p>
        </w:tc>
      </w:tr>
      <w:tr>
        <w:tc>
          <w:tcPr>
            <w:tcW w:w="4500" w:type="dxa"/>
          </w:tcPr>
          <w:p>
            <w:r>
              <w:t xml:space="preserve">PREFERENCE_OVERRIDDEN</w:t>
            </w:r>
          </w:p>
        </w:tc>
        <w:tc>
          <w:tcPr>
            <w:tcW w:w="4500" w:type="dxa"/>
          </w:tcPr>
          <w:p>
            <w:r>
              <w:t xml:space="preserve">The explicit preference was ineligible and another outcome was selected.</w:t>
            </w:r>
          </w:p>
        </w:tc>
      </w:tr>
      <w:tr>
        <w:tc>
          <w:tcPr>
            <w:tcW w:w="4500" w:type="dxa"/>
          </w:tcPr>
          <w:p>
            <w:r>
              <w:t xml:space="preserve">POLICY_BLOCKED</w:t>
            </w:r>
          </w:p>
        </w:tc>
        <w:tc>
          <w:tcPr>
            <w:tcW w:w="4500" w:type="dxa"/>
          </w:tcPr>
          <w:p>
            <w:r>
              <w:t xml:space="preserve">The active policy explicitly prohibited model use for the input, including when it permits no target classes. The outcome is fallback/stop.</w:t>
            </w:r>
          </w:p>
        </w:tc>
      </w:tr>
      <w:tr>
        <w:tc>
          <w:tcPr>
            <w:tcW w:w="4500" w:type="dxa"/>
          </w:tcPr>
          <w:p>
            <w:r>
              <w:t xml:space="preserve">NO_ELIGIBLE_MODEL</w:t>
            </w:r>
          </w:p>
        </w:tc>
        <w:tc>
          <w:tcPr>
            <w:tcW w:w="4500" w:type="dxa"/>
          </w:tcPr>
          <w:p>
            <w:r>
              <w:t xml:space="preserve">A supplied mapping had no model for the desired lane, or no mapped lane was eligible.</w:t>
            </w:r>
          </w:p>
        </w:tc>
      </w:tr>
    </w:tbl>
    <w:p/>
    <w:p>
      <w:pPr>
        <w:pStyle w:val="Heading1"/>
      </w:pPr>
      <w:r>
        <w:t xml:space="preserve">6. POC policy snapshot</w:t>
      </w:r>
    </w:p>
    <w:p>
      <w:r>
        <w:t xml:space="preserve">The checked-in config/relayiq-policy.json defines the profile-free policy below. policy_revision identifies an operator-assigned immutable snapshot, not the API draft number. Operators must assign a new revision when changing a deployed snapshot; relayiq-judge-v1 is the current revision and accompanies the email-only Judge scope.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000"/>
        <w:gridCol w:w="3000"/>
        <w:gridCol w:w="3000"/>
      </w:tblGrid>
      <w:tr>
        <w:tc>
          <w:tcPr>
            <w:tcW w:w="3000" w:type="dxa"/>
          </w:tcPr>
          <w:p>
            <w:r>
              <w:t xml:space="preserve">Setting</w:t>
            </w:r>
          </w:p>
        </w:tc>
        <w:tc>
          <w:tcPr>
            <w:tcW w:w="3000" w:type="dxa"/>
          </w:tcPr>
          <w:p>
            <w:r>
              <w:t xml:space="preserve">Value</w:t>
            </w:r>
          </w:p>
        </w:tc>
        <w:tc>
          <w:tcPr>
            <w:tcW w:w="3000" w:type="dxa"/>
          </w:tcPr>
          <w:p>
            <w:r>
              <w:t xml:space="preserve">Effect</w:t>
            </w:r>
          </w:p>
        </w:tc>
      </w:tr>
      <w:tr>
        <w:tc>
          <w:tcPr>
            <w:tcW w:w="3000" w:type="dxa"/>
          </w:tcPr>
          <w:p>
            <w:r>
              <w:t xml:space="preserve">policy_revision</w:t>
            </w:r>
          </w:p>
        </w:tc>
        <w:tc>
          <w:tcPr>
            <w:tcW w:w="3000" w:type="dxa"/>
          </w:tcPr>
          <w:p>
            <w:r>
              <w:t xml:space="preserve">relayiq-judge-v1</w:t>
            </w:r>
          </w:p>
        </w:tc>
        <w:tc>
          <w:tcPr>
            <w:tcW w:w="3000" w:type="dxa"/>
          </w:tcPr>
          <w:p>
            <w:r>
              <w:t xml:space="preserve">Reported on decisions made with this snapshot.</w:t>
            </w:r>
          </w:p>
        </w:tc>
      </w:tr>
      <w:tr>
        <w:tc>
          <w:tcPr>
            <w:tcW w:w="3000" w:type="dxa"/>
          </w:tcPr>
          <w:p>
            <w:r>
              <w:t xml:space="preserve">permitted_targets</w:t>
            </w:r>
          </w:p>
        </w:tc>
        <w:tc>
          <w:tcPr>
            <w:tcW w:w="3000" w:type="dxa"/>
          </w:tcPr>
          <w:p>
            <w:r>
              <w:t xml:space="preserve">local, cloud</w:t>
            </w:r>
          </w:p>
        </w:tc>
        <w:tc>
          <w:tcPr>
            <w:tcW w:w="3000" w:type="dxa"/>
          </w:tcPr>
          <w:p>
            <w:r>
              <w:t xml:space="preserve">Both target classes may be selected when eligible.</w:t>
            </w:r>
          </w:p>
        </w:tc>
      </w:tr>
      <w:tr>
        <w:tc>
          <w:tcPr>
            <w:tcW w:w="3000" w:type="dxa"/>
          </w:tcPr>
          <w:p>
            <w:r>
              <w:t xml:space="preserve">local_failure_permitted</w:t>
            </w:r>
          </w:p>
        </w:tc>
        <w:tc>
          <w:tcPr>
            <w:tcW w:w="3000" w:type="dxa"/>
          </w:tcPr>
          <w:p>
            <w:r>
              <w:t xml:space="preserve">true</w:t>
            </w:r>
          </w:p>
        </w:tc>
        <w:tc>
          <w:tcPr>
            <w:tcW w:w="3000" w:type="dxa"/>
          </w:tcPr>
          <w:p>
            <w:r>
              <w:t xml:space="preserve">Eligible local execution may be offered as fallback.</w:t>
            </w:r>
          </w:p>
        </w:tc>
      </w:tr>
      <w:tr>
        <w:tc>
          <w:tcPr>
            <w:tcW w:w="3000" w:type="dxa"/>
          </w:tcPr>
          <w:p>
            <w:r>
              <w:t xml:space="preserve">deny_inputs</w:t>
            </w:r>
          </w:p>
        </w:tc>
        <w:tc>
          <w:tcPr>
            <w:tcW w:w="3000" w:type="dxa"/>
          </w:tcPr>
          <w:p>
            <w:r>
              <w:t xml:space="preserve">Demonstrate the configured demo block.</w:t>
            </w:r>
          </w:p>
        </w:tc>
        <w:tc>
          <w:tcPr>
            <w:tcW w:w="3000" w:type="dxa"/>
          </w:tcPr>
          <w:p>
            <w:r>
              <w:t xml:space="preserve">An exact match returns POLICY_BLOCKED and fallback/stop.</w:t>
            </w:r>
          </w:p>
        </w:tc>
      </w:tr>
    </w:tbl>
    <w:p/>
    <w:p>
      <w:pPr>
        <w:pStyle w:val="Quote"/>
      </w:pPr>
      <w:r>
        <w:t xml:space="preserve">Judge-reported categories are not a guarantee of complete sensitive-data detection or successful redaction. An invalid configured policy fails service startup. If no policy path is configured, a valid placement request returns HTTP 500 with INTERNAL_ERROR before invoking the Judge. A policy evaluation failure also returns HTTP 500, regardless of local fallback permissions.</w:t>
      </w:r>
    </w:p>
    <w:p>
      <w:pPr>
        <w:pStyle w:val="Heading1"/>
      </w:pPr>
      <w:r>
        <w:t xml:space="preserve">7. Validation and failure behavior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000"/>
        <w:gridCol w:w="3000"/>
        <w:gridCol w:w="3000"/>
      </w:tblGrid>
      <w:tr>
        <w:tc>
          <w:tcPr>
            <w:tcW w:w="3000" w:type="dxa"/>
          </w:tcPr>
          <w:p>
            <w:r>
              <w:t xml:space="preserve">Condition</w:t>
            </w:r>
          </w:p>
        </w:tc>
        <w:tc>
          <w:tcPr>
            <w:tcW w:w="3000" w:type="dxa"/>
          </w:tcPr>
          <w:p>
            <w:r>
              <w:t xml:space="preserve">HTTP</w:t>
            </w:r>
          </w:p>
        </w:tc>
        <w:tc>
          <w:tcPr>
            <w:tcW w:w="3000" w:type="dxa"/>
          </w:tcPr>
          <w:p>
            <w:r>
              <w:t xml:space="preserve">Semantics</w:t>
            </w:r>
          </w:p>
        </w:tc>
      </w:tr>
      <w:tr>
        <w:tc>
          <w:tcPr>
            <w:tcW w:w="3000" w:type="dxa"/>
          </w:tcPr>
          <w:p>
            <w:r>
              <w:t xml:space="preserve">Valid request, including bounded fallback outcomes</w:t>
            </w:r>
          </w:p>
        </w:tc>
        <w:tc>
          <w:tcPr>
            <w:tcW w:w="3000" w:type="dxa"/>
          </w:tcPr>
          <w:p>
            <w:r>
              <w:t xml:space="preserve">200</w:t>
            </w:r>
          </w:p>
        </w:tc>
        <w:tc>
          <w:tcPr>
            <w:tcW w:w="3000" w:type="dxa"/>
          </w:tcPr>
          <w:p>
            <w:r>
              <w:t xml:space="preserve">A contract-valid placement decision is returned.</w:t>
            </w:r>
          </w:p>
        </w:tc>
      </w:tr>
      <w:tr>
        <w:tc>
          <w:tcPr>
            <w:tcW w:w="3000" w:type="dxa"/>
          </w:tcPr>
          <w:p>
            <w:r>
              <w:t xml:space="preserve">Malformed JSON, missing input, unknown field, wrong strict type, explicit null optional, duplicate/blank model, invalid budget</w:t>
            </w:r>
          </w:p>
        </w:tc>
        <w:tc>
          <w:tcPr>
            <w:tcW w:w="3000" w:type="dxa"/>
          </w:tcPr>
          <w:p>
            <w:r>
              <w:t xml:space="preserve">400</w:t>
            </w:r>
          </w:p>
        </w:tc>
        <w:tc>
          <w:tcPr>
            <w:tcW w:w="3000" w:type="dxa"/>
          </w:tcPr>
          <w:p>
            <w:r>
              <w:t xml:space="preserve">INVALID_REQUEST; no decision is created.</w:t>
            </w:r>
          </w:p>
        </w:tc>
      </w:tr>
      <w:tr>
        <w:tc>
          <w:tcPr>
            <w:tcW w:w="3000" w:type="dxa"/>
          </w:tcPr>
          <w:p>
            <w:r>
              <w:t xml:space="preserve">Policy unavailable, policy evaluation failed, or unexpected internal endpoint failure</w:t>
            </w:r>
          </w:p>
        </w:tc>
        <w:tc>
          <w:tcPr>
            <w:tcW w:w="3000" w:type="dxa"/>
          </w:tcPr>
          <w:p>
            <w:r>
              <w:t xml:space="preserve">500</w:t>
            </w:r>
          </w:p>
        </w:tc>
        <w:tc>
          <w:tcPr>
            <w:tcW w:w="3000" w:type="dxa"/>
          </w:tcPr>
          <w:p>
            <w:r>
              <w:t xml:space="preserve">INTERNAL_ERROR; no decision or fallback recommendation is returned.</w:t>
            </w:r>
          </w:p>
        </w:tc>
      </w:tr>
      <w:tr>
        <w:tc>
          <w:tcPr>
            <w:tcW w:w="3000" w:type="dxa"/>
          </w:tcPr>
          <w:p>
            <w:r>
              <w:t xml:space="preserve">Placement service temporarily cannot produce any decision</w:t>
            </w:r>
          </w:p>
        </w:tc>
        <w:tc>
          <w:tcPr>
            <w:tcW w:w="3000" w:type="dxa"/>
          </w:tcPr>
          <w:p>
            <w:r>
              <w:t xml:space="preserve">503</w:t>
            </w:r>
          </w:p>
        </w:tc>
        <w:tc>
          <w:tcPr>
            <w:tcW w:w="3000" w:type="dxa"/>
          </w:tcPr>
          <w:p>
            <w:r>
              <w:t xml:space="preserve">SERVICE_UNAVAILABLE; no decision is created.</w:t>
            </w:r>
          </w:p>
        </w:tc>
      </w:tr>
    </w:tbl>
    <w:p/>
    <w:p>
      <w:pPr>
        <w:pStyle w:val="Heading2"/>
      </w:pPr>
      <w:r>
        <w:t xml:space="preserve">Error envelope</w:t>
      </w:r>
    </w:p>
    <w:p>
      <w:pPr>
        <w:pStyle w:val="Quote"/>
      </w:pPr>
      <w:r>
        <w:t xml:space="preserve">{
  "error": "INVALID_REQUEST",
  "message": "Missing required field: input.",
  "decision_id": null
}</w:t>
      </w:r>
    </w:p>
    <w:p>
      <w:pPr>
        <w:pStyle w:val="Heading2"/>
      </w:pPr>
      <w:r>
        <w:t xml:space="preserve">Policy unavailable or evaluation failed (HTTP 500)</w:t>
      </w:r>
    </w:p>
    <w:p>
      <w:pPr>
        <w:pStyle w:val="Quote"/>
      </w:pPr>
      <w:r>
        <w:t xml:space="preserve">{
  "error": "INTERNAL_ERROR",
  "message": "The placement service could not complete the request.",
  "decision_id": null
}</w:t>
      </w:r>
    </w:p>
    <w:p>
      <w:r>
        <w:t xml:space="preserve">Every 400, 500, and 503 response uses exactly error, message, and decision_id. The stable error codes are INVALID_REQUEST, INTERNAL_ERROR, and SERVICE_UNAVAILABLE. message is diagnostic text, not a machine-readable decision signal.</w:t>
      </w:r>
    </w:p>
    <w:p>
      <w:pPr>
        <w:pStyle w:val="Quote"/>
      </w:pPr>
      <w:r>
        <w:t xml:space="preserve">Routine endpoint logs contain decision metadata, not request text, exception text, or credentials.</w:t>
      </w:r>
    </w:p>
    <w:p>
      <w:pPr>
        <w:pStyle w:val="Heading1"/>
      </w:pPr>
      <w:r>
        <w:t xml:space="preserve">8. Caller obligations</w:t>
      </w:r>
    </w:p>
    <w:p>
      <w:pPr>
        <w:numPr>
          <w:ilvl w:val="0"/>
          <w:numId w:val="2"/>
        </w:numPr>
      </w:pPr>
      <w:r>
        <w:t xml:space="preserve">Treat target_class, fallback_action, reason_codes, and conditional classification and sensitive_data_types as the machine-readable decision surface. Classification signals do not override placement or consent requirements.</w:t>
      </w:r>
    </w:p>
    <w:p>
      <w:pPr>
        <w:numPr>
          <w:ilvl w:val="0"/>
          <w:numId w:val="2"/>
        </w:numPr>
      </w:pPr>
      <w:r>
        <w:t xml:space="preserve">For either cloud outcome, use reported categories to guide the caller's own redaction of sensitive data before transmission. RelayIQ neither performs nor verifies that redaction and supplies no sanitized payload or locations of sensitive values. For cloud_with_consent, obtain approval before invoking the selected model; consent is not proof of redaction.</w:t>
      </w:r>
    </w:p>
    <w:p>
      <w:r>
        <w:t xml:space="preserve">Accept new category identifiers without treating them as non-sensitive. A missing category field does not guarantee safety, especially with CLASSIFIER_DEGRADED. The caller remains responsible for assessing and handling data safely before cloud transmission.</w:t>
      </w:r>
    </w:p>
    <w:p>
      <w:pPr>
        <w:numPr>
          <w:ilvl w:val="0"/>
          <w:numId w:val="2"/>
        </w:numPr>
      </w:pPr>
      <w:r>
        <w:t xml:space="preserve">For a normal recommendation with suggestions, choose from suggested_models.local for local, or suggested_models.cloud for either cloud target. The other list is inventory only, not authorization to switch lanes. RelayIQ does not execute the choice.</w:t>
      </w:r>
    </w:p>
    <w:p>
      <w:pPr>
        <w:numPr>
          <w:ilvl w:val="0"/>
          <w:numId w:val="2"/>
        </w:numPr>
      </w:pPr>
      <w:r>
        <w:t xml:space="preserve">Honor fallback_action "stop" by not invoking an answer model under this decision.</w:t>
      </w:r>
    </w:p>
    <w:p>
      <w:pPr>
        <w:numPr>
          <w:ilvl w:val="0"/>
          <w:numId w:val="2"/>
        </w:numPr>
      </w:pPr>
      <w:r>
        <w:t xml:space="preserve">Handle transport errors and error envelopes as no usable decision; do not infer placement from human-readable text.</w:t>
      </w:r>
    </w:p>
    <w:p>
      <w:pPr>
        <w:pStyle w:val="Heading1"/>
      </w:pPr>
      <w:r>
        <w:t xml:space="preserve">9. Integration and acceptance criteria</w:t>
      </w:r>
    </w:p>
    <w:p>
      <w:r>
        <w:t xml:space="preserve">The API validates Judge output and exposes the same rules through OpenAPI. Invalid or incomplete model assessments use the degraded response shape, without substituting default classification flags. Callers must migrate to Draft 4 before integration; the following criteria define the supported boundary.</w:t>
      </w:r>
    </w:p>
    <w:p>
      <w:r>
        <w:t xml:space="preserve">Accept a profile-free request; reject the removed request field as an unknown field under Draft 4.</w:t>
      </w:r>
    </w:p>
    <w:p>
      <w:r>
        <w:t xml:space="preserve">Return only consent_required in requirements; do not use profile matching to determine cloud eligibility.</w:t>
      </w:r>
    </w:p>
    <w:p>
      <w:r>
        <w:t xml:space="preserve">Enforce all three assessment cases in the classification matrix, including omitting sensitivity findings whenever CLASSIFIER_DEGRADED is present.</w:t>
      </w:r>
    </w:p>
    <w:p>
      <w:r>
        <w:t xml:space="preserve">Return all five strict boolean classification fields for healthy classification and omit the object for degraded classification. Keep classification.sensitive_data, SENSITIVE_DATA_DETECTED, and sensitive_data_types consistent.</w:t>
      </w:r>
    </w:p>
    <w:p>
      <w:r>
        <w:t xml:space="preserve">Return only unique category labels for positive detections; accept an extensible vocabulary without exposing sensitive values.</w:t>
      </w:r>
    </w:p>
    <w:p>
      <w:r>
        <w:t xml:space="preserve">Omit suggestions without a request mapping; otherwise return both lane arrays, preserve their order for normal recommendations, and empty both arrays for fallback.</w:t>
      </w:r>
    </w:p>
    <w:p>
      <w:r>
        <w:t xml:space="preserve">Return HTTP 500 with the error envelope when policy is unavailable or evaluation fails; never emit DECISION_UNAVAILABLE or a success-shaped fallback for these failures. Successful decisions always contain a non-blank policy_revision.</w:t>
      </w:r>
    </w:p>
    <w:p>
      <w:r>
        <w:t xml:space="preserve">Preserve target/consent relationships, policy bounds, connectivity, budget, inventory, preferences, fallback, and error envelopes.</w:t>
      </w:r>
    </w:p>
    <w:sectPr>
      <w:pgSz w:w="12240" w:h="15840"/>
      <w:pgMar w:top="900" w:right="900" w:bottom="900" w:left="900" w:header="720" w:footer="720" w:gutter="0"/>
      <w:cols w:num="1"/>
    </w:sectPr>
  </w:body>
</w:document>
</file>

<file path=word/numbering.xml><?xml version="1.0" encoding="utf-8"?>
<w:numbering xmlns:w="http://schemas.openxmlformats.org/wordprocessingml/2006/main">
  <w:abstractNum w:abstractNumId="0">
    <w:nsid w:val="0A11C0DE"/>
    <w:multiLevelType w:val="hybridMultilevel"/>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
    <w:nsid w:val="0A11DEC1"/>
    <w:multiLevelType w:val="hybrid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Calibri" w:hAnsi="Calibri"/>
        <w:sz w:val="22"/>
      </w:rPr>
    </w:rPrDefault>
  </w:docDefaults>
  <w:style w:type="paragraph" w:default="1" w:styleId="Normal">
    <w:name w:val="Normal"/>
  </w:style>
  <w:style w:type="paragraph" w:styleId="Title">
    <w:name w:val="Title"/>
    <w:basedOn w:val="Normal"/>
    <w:next w:val="Normal"/>
    <w:pPr>
      <w:spacing w:after="80"/>
      <w:contextualSpacing/>
    </w:pPr>
    <w:rPr>
      <w:rFonts w:ascii="Calibri Light" w:hAnsi="Calibri Light"/>
      <w:spacing w:val="-10"/>
      <w:kern w:val="28"/>
      <w:sz w:val="56"/>
    </w:rPr>
  </w:style>
  <w:style w:type="paragraph" w:styleId="Subtitle">
    <w:name w:val="Subtitle"/>
    <w:basedOn w:val="Normal"/>
    <w:next w:val="Normal"/>
    <w:pPr>
      <w:spacing w:after="160"/>
    </w:pPr>
    <w:rPr>
      <w:rFonts w:ascii="Calibri Light" w:hAnsi="Calibri Light"/>
      <w:color w:val="595959"/>
      <w:spacing w:val="15"/>
      <w:sz w:val="28"/>
    </w:rPr>
  </w:style>
  <w:style w:type="paragraph" w:styleId="Heading1">
    <w:name w:val="heading 1"/>
    <w:basedOn w:val="Normal"/>
    <w:next w:val="Normal"/>
    <w:pPr>
      <w:keepNext/>
      <w:keepLines/>
      <w:spacing w:before="240" w:after="0"/>
      <w:outlineLvl w:val="0"/>
    </w:pPr>
    <w:rPr>
      <w:rFonts w:ascii="Calibri Light" w:hAnsi="Calibri Light"/>
      <w:color w:val="2F5496"/>
      <w:sz w:val="32"/>
    </w:rPr>
  </w:style>
  <w:style w:type="paragraph" w:styleId="Heading2">
    <w:name w:val="heading 2"/>
    <w:basedOn w:val="Normal"/>
    <w:next w:val="Normal"/>
    <w:pPr>
      <w:keepNext/>
      <w:keepLines/>
      <w:spacing w:before="40" w:after="0"/>
      <w:outlineLvl w:val="1"/>
    </w:pPr>
    <w:rPr>
      <w:rFonts w:ascii="Calibri Light" w:hAnsi="Calibri Light"/>
      <w:color w:val="2F5496"/>
      <w:sz w:val="26"/>
    </w:rPr>
  </w:style>
  <w:style w:type="paragraph" w:styleId="Heading3">
    <w:name w:val="heading 3"/>
    <w:basedOn w:val="Normal"/>
    <w:next w:val="Normal"/>
    <w:pPr>
      <w:keepNext/>
      <w:keepLines/>
      <w:spacing w:before="40" w:after="0"/>
      <w:outlineLvl w:val="2"/>
    </w:pPr>
    <w:rPr>
      <w:rFonts w:ascii="Calibri Light" w:hAnsi="Calibri Light"/>
      <w:color w:val="1F3763"/>
      <w:sz w:val="24"/>
    </w:rPr>
  </w:style>
  <w:style w:type="paragraph" w:styleId="Heading4">
    <w:name w:val="heading 4"/>
    <w:basedOn w:val="Normal"/>
    <w:next w:val="Normal"/>
    <w:pPr>
      <w:keepNext/>
      <w:keepLines/>
      <w:spacing w:before="40" w:after="0"/>
      <w:outlineLvl w:val="3"/>
    </w:pPr>
    <w:rPr>
      <w:rFonts w:ascii="Calibri Light" w:hAnsi="Calibri Light"/>
      <w:i/>
      <w:color w:val="2F5496"/>
    </w:rPr>
  </w:style>
  <w:style w:type="paragraph" w:styleId="Heading5">
    <w:name w:val="heading 5"/>
    <w:basedOn w:val="Normal"/>
    <w:next w:val="Normal"/>
    <w:pPr>
      <w:keepNext/>
      <w:keepLines/>
      <w:spacing w:before="40" w:after="0"/>
      <w:outlineLvl w:val="4"/>
    </w:pPr>
    <w:rPr>
      <w:rFonts w:ascii="Calibri Light" w:hAnsi="Calibri Light"/>
      <w:color w:val="2F5496"/>
    </w:rPr>
  </w:style>
  <w:style w:type="paragraph" w:styleId="Heading6">
    <w:name w:val="heading 6"/>
    <w:basedOn w:val="Normal"/>
    <w:next w:val="Normal"/>
    <w:pPr>
      <w:keepNext/>
      <w:keepLines/>
      <w:spacing w:before="40" w:after="0"/>
      <w:outlineLvl w:val="5"/>
    </w:pPr>
    <w:rPr>
      <w:rFonts w:ascii="Calibri Light" w:hAnsi="Calibri Light"/>
      <w:color w:val="1F3763"/>
    </w:rPr>
  </w:style>
  <w:style w:type="paragraph" w:styleId="Quote">
    <w:name w:val="Quote"/>
    <w:basedOn w:val="Normal"/>
    <w:next w:val="Normal"/>
    <w:pPr>
      <w:spacing w:before="200" w:after="160"/>
      <w:ind w:left="864" w:right="864"/>
      <w:jc w:val="center"/>
    </w:pPr>
    <w:rPr>
      <w:i/>
      <w:color w:val="404040"/>
    </w:rPr>
  </w:style>
  <w:style w:type="paragraph" w:styleId="ListParagraph">
    <w:name w:val="List Paragraph"/>
    <w:basedOn w:val="Normal"/>
    <w:pPr>
      <w:ind w:left="720"/>
      <w:contextualSpacing/>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Relationships>
</file>