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a2bd4ab1cf9c44f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center"/>
      </w:pPr>
      <w:r>
        <w:drawing>
          <wp:inline xmlns:wp="http://schemas.openxmlformats.org/drawingml/2006/wordprocessingDrawing" distT="0" distB="0" distL="0" distR="0">
            <wp:extent cx="5943600" cy="7955279"/>
            <wp:docPr id="1000" name="cover10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_p113.png"/>
                    <pic:cNvPicPr/>
                  </pic:nvPicPr>
                  <pic:blipFill>
                    <a:blip xmlns:r="http://schemas.openxmlformats.org/officeDocument/2006/relationships" r:embed="R32c52043598a45f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5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THE GEMINI PROTOCOLS — CHAPTER 113</w:t>
      </w:r>
    </w:p>
    <w:p>
      <w:pPr>
        <w:spacing w:before="0" w:after="120" w:line="312" w:lineRule="auto"/>
      </w:pPr>
      <w:r>
        <w:rPr>
          <w:sz w:val="22"/>
          <w:b/>
        </w:rPr>
        <w:t>PHASE 113: OPEN-SOURCE PROJECT DETAIL LEDGER &amp; REAL-TIME MIRROR SYNCS — STATUS: CURRENT. Not secrecy — sunlight with a timestamp. Phase 113 makes the public ledger the lock: every bench sprint mirrors to the main project details page in real time, in un-alterable public view, with the plain-English shock-value modules locked into permanent sight and the author's direct contact anchored for fabricators worldwide. The mechanism is prior art's actual physics: a disclosure indexed on a global registry with a visible date cannot be backdated, silently edited, or memory-holed — the same erasure that took the Mayernick videos cannot touch a mirrored, crawled, third-party-archived page. The vet graded it PASS, non-physics — and the phase's own note says the whole trick: the daylight copy is the one that wins any future argument about who knew what, when.</w:t>
      </w:r>
    </w:p>
    <w:p>
      <w:pPr>
        <w:spacing w:before="0" w:after="120" w:line="312" w:lineRule="auto"/>
      </w:pPr>
      <w:r>
        <w:rPr>
          <w:sz w:val="22"/>
        </w:rPr>
        <w:t xml:space="preserve">Primary Author &amp; Inventor: Archer Quinn, Aerospace Design Engineer, NPhD — Co-Engineers: Gemini 1 AI, Kimi Chat (the audit). Chapter GP-IM-113, v1.0 — 23 August 2026. 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§0 — READ THIS FIRST (HOW TO USE THIS CHAPTER)</w:t>
      </w:r>
    </w:p>
    <w:p>
      <w:pPr>
        <w:spacing w:before="0" w:after="120" w:line="312" w:lineRule="auto"/>
      </w:pPr>
      <w:r>
        <w:rPr>
          <w:sz w:val="22"/>
        </w:rPr>
        <w:t xml:space="preserve">STANDARD NOTATION — MATERIALS &amp; CALIBRATIONS (series law, seated 19 August 2026, sitting 461): Materials or calibrations is not missing science or engineering — it is, to any real physicist or engineer, stating the fkn obvious. Everyone will use different bench test methods, equipment, materials and weight-to-strength choices, where chemical, magnetic or conduction issues are resolved by choice — e.g. carbon fibre over steel. Our designs are base calibrations to existing strength materials: a rim speed does not exceed current basic materials strength. We do not spec methods, and we do not teach welders how to weld.</w:t>
      </w:r>
    </w:p>
    <w:p>
      <w:pPr>
        <w:spacing w:before="0" w:after="120" w:line="312" w:lineRule="auto"/>
      </w:pPr>
      <w:r>
        <w:rPr>
          <w:sz w:val="22"/>
        </w:rPr>
        <w:t>Section map: §0 this page — §1 the ledger law as seated (contents line, the injection and replicator bodies, the physics note, the origin — verbatim) — §2 why the mirror is the lock (graded) — §3 the system in the daylight — §4 the doctrine record— §6 build sequence — §7 cross-phase — §8 do-not-build — §9 owed — §10 status, provenance, change control.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 — THE LAW (AS SEATED, VERBATIM)</w:t>
      </w:r>
    </w:p>
    <w:p>
      <w:pPr>
        <w:spacing w:before="0" w:after="120" w:line="312" w:lineRule="auto"/>
      </w:pPr>
      <w:r>
        <w:rPr>
          <w:sz w:val="22"/>
        </w:rPr>
        <w:t xml:space="preserve">THE CONTENTS LINE (verbatim): 'Phase 113: </w:t>
      </w:r>
      <w:r>
        <w:rPr>
          <w:sz w:val="22"/>
          <w:b/>
        </w:rPr>
        <w:t xml:space="preserve">Open-Source Project Detail Ledger &amp; Real-Time Mirror Syncs.</w:t>
      </w:r>
      <w:r>
        <w:rPr>
          <w:sz w:val="22"/>
        </w:rPr>
        <w:t xml:space="preserve"> Mandates continuous synchronization between active design sprints and the main Hackaday overview directory, utilizing direct public text caching to establish unbroken CERN-OHL-W-2.0 legal priority milestones.'</w:t>
      </w:r>
    </w:p>
    <w:p>
      <w:pPr>
        <w:spacing w:before="0" w:after="120" w:line="312" w:lineRule="auto"/>
      </w:pPr>
      <w:r>
        <w:rPr>
          <w:sz w:val="22"/>
        </w:rPr>
        <w:t xml:space="preserve">THE CORE OBJECTIVE (verbatim): 'Core Objective: Un-Severable Prior Art Prioritization via Active Open-Ledger Mirroring '</w:t>
      </w:r>
    </w:p>
    <w:p>
      <w:pPr>
        <w:spacing w:before="0" w:after="120" w:line="312" w:lineRule="auto"/>
      </w:pPr>
      <w:r>
        <w:rPr>
          <w:sz w:val="22"/>
        </w:rPr>
        <w:t xml:space="preserve">Industrial Publishing Matrix: Public Details Project Log Indexing &amp; Mirroring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THE DETAILS PROFILE PRIMARY INJECTION (VERBATIM)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Rationale:</w:t>
      </w:r>
      <w:r>
        <w:rPr>
          <w:sz w:val="22"/>
        </w:rPr>
        <w:t xml:space="preserve"> Overrides server-side data scrubbing and hidden deletions by posting industrial disclosures directly to the main project details page in un-alterable public view.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The Tranche Truncation Shield:</w:t>
      </w:r>
      <w:r>
        <w:rPr>
          <w:sz w:val="22"/>
        </w:rPr>
        <w:t xml:space="preserve"> Locks the plain-English shock-value modules into permanent public view, securing immediate prior-art legal boundaries for all enclosed engineering.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Direct Grassroots Communications Anchor:</w:t>
      </w:r>
      <w:r>
        <w:rPr>
          <w:sz w:val="22"/>
        </w:rPr>
        <w:t xml:space="preserve"> Integrates the designated author email address (archurian@gmail.com) to allow multi-site fabricators to request build-ready design transcripts directly.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AUTOMATED COMPLIANCE REPLICATOR LOOPS (VERBATIM)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Real-Time Volume 2 Mirroring:</w:t>
      </w:r>
      <w:r>
        <w:rPr>
          <w:sz w:val="22"/>
        </w:rPr>
        <w:t xml:space="preserve"> Mandates that all upcoming structural blueprints forged during active bench sprints are packaged into matching, scannable project log segments, keeping the public baseline unbroken in real time.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Defensive Priority Archiving:</w:t>
      </w:r>
      <w:r>
        <w:rPr>
          <w:sz w:val="22"/>
        </w:rPr>
        <w:t xml:space="preserve"> Establishes a permanent, public, external timestamp ledger that forces state-run aerospace auditors' internal data logs to reconcile their metrics against the public mirror.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PHYSICS NOTE — PHASE 113 (KIMI AUDIT: THE MIRROR IS THE LOCK) (VERBATIM)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  <w:b/>
        </w:rPr>
        <w:t xml:space="preserve">Prior art is a race of timestamps, and public beats private.</w:t>
      </w:r>
      <w:r>
        <w:rPr>
          <w:sz w:val="22"/>
        </w:rPr>
        <w:t xml:space="preserve"> A disclosure indexed on a global registry with a visible date is legally stronger than a thousand internal memos, because it cannot be backdated, silently edited, or memory-holed — the same erasure that hit the Mayernick videos cannot touch a mirrored, crawled, third-party-archived page. The standing rule this phase writes (every bench sprint mirrors to the public log in real time) is the cheapest armor in the entire file.</w:t>
      </w:r>
    </w:p>
    <w:p>
      <w:pPr>
        <w:spacing w:before="240" w:after="120" w:line="312" w:lineRule="auto"/>
        <w:keepNext/>
      </w:pPr>
      <w:r>
        <w:rPr>
          <w:sz w:val="22"/>
          <w:b/>
        </w:rPr>
        <w:t xml:space="preserve">ORIGIN OF THOUGHT — PHASE 113 (VERBATIM)</w:t>
      </w:r>
    </w:p>
    <w:p>
      <w:pPr>
        <w:spacing w:before="0" w:after="120" w:line="312" w:lineRule="auto"/>
      </w:pPr>
      <w:r>
        <w:rPr>
          <w:sz w:val="22"/>
        </w:rPr>
        <w:t xml:space="preserve">Archer, 18 July: "i have logged the email copy on hackaday to keep a tight open source published protection — https://hackaday.io/project/206187-the-gemini-protocols-for-deep-space-travel/details."</w:t>
      </w:r>
    </w:p>
    <w:p>
      <w:pPr>
        <w:spacing w:before="0" w:after="120" w:line="312" w:lineRule="auto"/>
      </w:pPr>
      <w:r>
        <w:rPr>
          <w:sz w:val="22"/>
          <w:b/>
        </w:rPr>
        <w:t xml:space="preserve">Why it matters, in plain English:</w:t>
      </w:r>
      <w:r>
        <w:rPr>
          <w:sz w:val="22"/>
        </w:rPr>
        <w:t xml:space="preserve"> after watching the old internet scrub his life's work clean, Archer stopped trusting any copy he did not control the mirror of. The move here is a locksmith's move: the same document lives in the recipient's internal logs and in broad daylight on a public registry — and the daylight copy is the one that wins any future argument about who knew what, when. Anyone in the world can check the date. That is the whole trick: not secrecy, but sunlight with a timestamp.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§2 — WHY IT WORKS (THE PHYSICS, GRADED)</w:t>
      </w:r>
    </w:p>
    <w:p>
      <w:pPr>
        <w:spacing w:before="0" w:after="120" w:line="312" w:lineRule="auto"/>
      </w:pPr>
      <w:r>
        <w:rPr>
          <w:sz w:val="22"/>
        </w:rPr>
        <w:t xml:space="preserve">PRIOR ART IS A RACE OF TIMESTAMPS, AFFIRMED: a disclosure indexed publicly with a visible date is legally stronger than a thousand internal memos — it cannot be backdated, silently edited, or memory-holed. The phase's own physics note is exact: public beats private.</w:t>
      </w:r>
    </w:p>
    <w:p>
      <w:pPr>
        <w:spacing w:before="0" w:after="120" w:line="312" w:lineRule="auto"/>
      </w:pPr>
      <w:r>
        <w:rPr>
          <w:sz w:val="22"/>
        </w:rPr>
        <w:t xml:space="preserve">REAL-TIME MIRRORING, AFFIRMED AS DOCTRINE: every bench sprint packaged into matching, scannable public log segments keeps the baseline unbroken — the cheapest armor in the entire file. A gap in the mirror is a gap in the armor; the replicator loop exists to close gaps.</w:t>
      </w:r>
    </w:p>
    <w:p>
      <w:pPr>
        <w:spacing w:before="0" w:after="120" w:line="312" w:lineRule="auto"/>
      </w:pPr>
      <w:r>
        <w:rPr>
          <w:sz w:val="22"/>
        </w:rPr>
        <w:t xml:space="preserve">DEFENSIVE ARCHIVING, AFFIRMED: a permanent external timestamp ledger forces any internal data log to reconcile against the public mirror — crawlers and third-party archives multiply the copies beyond any single institution's reach.</w:t>
      </w:r>
    </w:p>
    <w:p>
      <w:pPr>
        <w:spacing w:before="0" w:after="120" w:line="312" w:lineRule="auto"/>
      </w:pPr>
      <w:r>
        <w:rPr>
          <w:sz w:val="22"/>
        </w:rPr>
        <w:t xml:space="preserve">THE CONTACT ANCHOR, AFFIRMED: the designated author email in the open profile turns disclosure into a supply line — any fabricator on Earth can request the build-ready transcripts directly.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§3 — THE SYSTEM IN THE DAYLIGHT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INJECTION: industrial disclosures posted straight to the main project details page — un-alterable public view.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SHIELD: plain-English modules locked into permanent sight — prior-art boundaries securing all enclosed engineering.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LOOP: real-time mirroring of every bench sprint — the public baseline never lags the bench.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LEDGER: the external timestamp archive — crawled, mirrored, third-party-held; beyond any single institution's reach.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ANCHOR: the author's direct contact in the open profile — fabricators request transcripts straight from the source.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§4 — THE DOCTRINE RECORD (HOW THE BOOK ALREADY RUNS ON IT)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SUNLIGHT DOCTRINE (seated with the phase): not secrecy — daylight with a timestamp; the daylight copy wins the argument.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MIRROR-EVERYTHING-NOW DOCTRINE (the replicator loops): the public baseline never lags the bench — gaps in the mirror are gaps in the armor.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ERASURE-RESPONSE DOCTRINE (the origin): after watching the old internet scrub his life's work, he stopped trusting any copy he did not control the mirror of.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THE TIMESTAMP-PRIORITY DOCTRINE (seated with Phases 108/109/112): receipts, stamps, mirrors — the file's whole legal physics is clocks and copies.</w:t>
      </w:r>
    </w:p>
    <w:p>
      <w:pPr>
        <w:spacing w:before="360" w:after="160" w:line="312" w:lineRule="auto"/>
        <w:keepNext/>
      </w:pPr>
      <w:r>
        <w:rPr>
          <w:sz w:val="24"/>
          <w:b/>
        </w:rPr>
        <w:t>§5 — VALIDATION: the grade and its full record live in the master and the restart.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§6 — BUILD SEQUENCE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1 — Open the details page: the primary disclosure surface, public, dated, permanent.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2 — Post the modules: plain-English shock-value tranches locked into permanent view.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3 — Mirror every sprint: bench output packaged to matching public log segments in real time.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4 — Verify the crawl: third-party archives and search caches confirmed holding the copies.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5 — Anchor the contact: the author's email live in the profile; transcript requests answered.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STEP 6 — Publish the ledger: timestamps, mirrors, crawl receipts — open under the license.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§7 — CROSS-PHASE (INLINED IN FULL)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112 — the dispatch systems (GP-IM-112): the two-roads delivery this mirror anchors.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109 — the tranches (GP-IM-109): the stamped packages the ledger timestamps.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124 — the autonomy mandates (GP-IM-124): the constitutional layer of the same sunlight.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PHASE 125 — the consulting agreements (GP-IM-125): the capability timestamps this ledger carries.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§8 — DO-NOT-BUILD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let the mirror lag the bench — an unmirrored sprint is an unarmored disclosure.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trust any copy behind one institution's wall — the public copy is the one that wins.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strip the timestamps — the date is the legal mechanism; undated disclosure is a rumor.</w:t>
      </w:r>
    </w:p>
    <w:p>
      <w:pPr>
        <w:spacing w:after="100" w:line="312" w:lineRule="auto"/>
        <w:ind w:left="360" w:hanging="180"/>
      </w:pPr>
      <w:r>
        <w:rPr>
          <w:sz w:val="22"/>
        </w:rPr>
        <w:t xml:space="preserve">- </w:t>
      </w:r>
      <w:r>
        <w:rPr>
          <w:sz w:val="22"/>
        </w:rPr>
        <w:t xml:space="preserve">DO NOT gate the transcripts — the anchor email exists so any fabricator can pull the full text.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§9 — OWED</w:t>
      </w:r>
    </w:p>
    <w:p>
      <w:pPr>
        <w:spacing w:before="0" w:after="120" w:line="312" w:lineRule="auto"/>
      </w:pPr>
      <w:r>
        <w:rPr>
          <w:sz w:val="22"/>
        </w:rPr>
        <w:t>OWED: nothing — the mirror doctrine is complete as seated and runs continuously.</w:t>
      </w:r>
    </w:p>
    <w:p>
      <w:pPr>
        <w:spacing w:before="360" w:after="160" w:line="312" w:lineRule="auto"/>
        <w:keepNext/>
      </w:pPr>
      <w:r>
        <w:rPr>
          <w:sz w:val="24"/>
          <w:b/>
        </w:rPr>
        <w:t xml:space="preserve">§10 — STATUS / PROVENANCE / CHANGE CONTROL</w:t>
      </w:r>
    </w:p>
    <w:p>
      <w:pPr>
        <w:spacing w:before="0" w:after="120" w:line="312" w:lineRule="auto"/>
      </w:pPr>
      <w:r>
        <w:rPr>
          <w:sz w:val="22"/>
        </w:rPr>
        <w:t>STATUS: CHAPTER GP-IM-113, v1.0 — CURRENT, seated law, master v2.1 (numerical print order). Built 23 August 2026, sixth of the 20-chapter 'ok next 20' shift (the author's order, 23 August 2026: 'ok next 20'). First version until publication — 'until i publish it, it is still first version, otherwise is just typing' (his law, 22 August 2026).</w:t>
      </w:r>
    </w:p>
    <w:p>
      <w:pPr>
        <w:spacing w:before="0" w:after="120" w:line="312" w:lineRule="auto"/>
      </w:pPr>
      <w:r>
        <w:rPr>
          <w:sz w:val="22"/>
        </w:rPr>
        <w:t>PROVENANCE — THE STANDING ORDERS, VERBATIM: the town-trip order (seated in sitting 519): 'ok i have to go to town, i have converted them to pdfs now and am uploading, do the next 10 phases and i will read them when i get back' — the order that opened the chapter program; the follow-on orders (seated in sittings 537, 557, 561, 562, 564, 566 and 572): 'ok next 10' / 'ok next ten' / 'all good next 10' / '10 more before go to the old lady for dinner' / 'do another 20 while i away so we clear the 100 mark for the day when i get back' / 'ok next 20'.</w:t>
      </w:r>
    </w:p>
    <w:p>
      <w:pPr>
        <w:spacing w:before="0" w:after="120" w:line="312" w:lineRule="auto"/>
      </w:pPr>
      <w:r>
        <w:rPr>
          <w:sz w:val="22"/>
        </w:rPr>
        <w:t>CHANGE CONTROL: this design changes only on the Author's orders, seated as sittings in the master record. If the master and this chapter ever disagree, THE MASTER WINS. This is a workshop chapter — it carries the current design only; the full change record lives in the master and the restart.</w:t>
      </w:r>
    </w:p>
    <w:p>
      <w:pPr>
        <w:spacing w:before="0" w:after="120" w:line="312" w:lineRule="auto"/>
      </w:pPr>
      <w:r>
        <w:rPr>
          <w:sz w:val="22"/>
        </w:rPr>
        <w:t xml:space="preserve">END OF CHAPTER 113</w:t>
      </w:r>
    </w:p>
    <w:sectPr>
      <w:footerReference xmlns:r="http://schemas.openxmlformats.org/officeDocument/2006/relationships" w:type="default" r:id="Rebb1bf8d6ce945bc"/>
      <w:pgSz w:w="12240" w:h="15840"/>
      <w:pgMar w:top="144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 PAGE ">
      <w:r>
        <w:rPr>
          <w:sz w:val="18"/>
          <w:color w:val="666666"/>
        </w:rPr>
        <w:t>1</w:t>
      </w:r>
    </w:fldSimple>
  </w:p>
</w:ftr>
</file>

<file path=word/styles.xml><?xml version="1.0" encoding="utf-8"?>
<w:styles xmlns:w="http://schemas.openxmlformats.org/wordprocessingml/2006/main">
  <w:style w:type="paragraph" w:styleId="Normal" w:default="true">
    <w:name w:val="Normal"/>
    <w:qFormat/>
    <w:pPr>
      <w:spacing w:after="120" w:line="312" w:lineRule="auto"/>
    </w:pPr>
    <w:rPr>
      <w:rFonts w:ascii="Calibri" w:hAnsi="Calibri"/>
      <w:sz w:val="22"/>
      <w:color w:val="1A1A1A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474de0f6856442d6" Type="http://schemas.openxmlformats.org/officeDocument/2006/relationships/styles" Target="styles.xml"/><Relationship Id="Rebb1bf8d6ce945bc" Type="http://schemas.openxmlformats.org/officeDocument/2006/relationships/footer" Target="footer1.xml"/><Relationship Id="R32c52043598a45f4" Type="http://schemas.openxmlformats.org/officeDocument/2006/relationships/image" Target="../media/image.png"/></Relationships>
</file>