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dfb08522ca674e6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36.png"/>
                    <pic:cNvPicPr/>
                  </pic:nvPicPr>
                  <pic:blipFill>
                    <a:blip xmlns:r="http://schemas.openxmlformats.org/officeDocument/2006/relationships" r:embed="Ra4d4f7065b6844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136</w:t>
      </w:r>
    </w:p>
    <w:p>
      <w:pPr>
        <w:spacing w:before="0" w:after="120" w:line="312" w:lineRule="auto"/>
      </w:pPr>
      <w:r>
        <w:rPr>
          <w:sz w:val="22"/>
          <w:b/>
        </w:rPr>
        <w:t>PHASE 136: THE QUINN CENTRIFUGAL GUTTER-FEED SPORTS BOTTLE ARCHITECTURE — STATUS: CURRENT — BUBBLE-REMOVAL PERFORMANCE TESTING OWED. The bottle that drinks like a planet. In microgravity a water bag is a lottery — the gulp you draw is as likely air as water, and every bubble swallowed is a crew comfort and digestion problem logged. Phase 136 rejects the non-rigid space-bag and the paste packet outright and engineers the container for the physics: a double-walled rigid bottle whose inner lining carries vertical gutter reduction points, so a slow spin sets the fluid climbing the walls by centrifugal force and the gutters gather it into a solid, unbroken pocket at the perimeter gate — density where the straw lives. The flip-neck sports latch anchors the straw terminal directly inside that solid-fluid pocket: un-broken density draw, every sip, no bubble lottery. It is the file's rotating-tank law shrunk to a litre — the same made-not-borrowed vector the waste bowl (137) and the shower (146) run on — dressed as consumer hardware a crew member can hold in one hand. The vet graded the liquid positioning sound; the bubble-removal performance — how clean the draw is across spin rates and fill levels — is a bench number, owed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GP-IM-136,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bottle law as seated (contents line, the two bodies, verbatim) — §2 why the gutter works (graded) — §3 the system in the hand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136: </w:t>
      </w:r>
      <w:r>
        <w:rPr>
          <w:sz w:val="22"/>
          <w:b/>
        </w:rPr>
        <w:t xml:space="preserve">Centrifugal Gutter-Feed Sports Bottle Architecture.</w:t>
      </w:r>
      <w:r>
        <w:rPr>
          <w:sz w:val="22"/>
        </w:rPr>
        <w:t xml:space="preserve"> Rejects non-rigid plastic space-bags to eliminate microgravity hydration waste. Shapes the inner lining of a double-walled container with a downward-sloping vertical channel, utilizing a non-contact magnetic base-stirrer to fling dense fluid outward into a perimeter straw intake port while forcing air bubbles away.'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Consumer Design: Microgravity Hydration Engineering &amp; Non-Contact Magnetic Mixing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Bubble-Free Personal Fluid Delivery via Localized Centripetal Sorting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DOUBLE-WALLED CONCAVE GUTTER MATRIX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non-rigid plastic space-bags and paste packets to eliminate waste profiles and prevent erratic microgravity air-bubble ingestion during crew hydration cycles. * Vertical Gutter Reduction Points: Shapes the inner lining of a double-walled container with a downward-sloping channel tapering directly to a perimeter straw intake port. * Magnetic Base-Stirrer Vortices: Embeds a non-contact magnetic mixing bar inside the lower base cavity, spinning fluids to drive dense liquid outward into the gutter while forcing low-density gas bubbles into the center core space.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FLIP-NECK STRAW SEAL ASSEMBLY (VERBATIM)</w:t>
      </w:r>
    </w:p>
    <w:p>
      <w:pPr>
        <w:spacing w:before="0" w:after="120" w:line="312" w:lineRule="auto"/>
      </w:pPr>
      <w:r>
        <w:rPr>
          <w:sz w:val="22"/>
        </w:rPr>
        <w:t xml:space="preserve">* Intrenched Straw Terminals: Anchors the baseline drinking straw directly within the solid-fluid pocket of the perimeter gutter reduction gate to guarantee un-broken density draw. * Mechanical Flip-Neck Compression: Integrates a sports-class flip-neck silicone straw latch that compresses hard against a stop-valve when closed to secure an airtight vacuum seal. * Terrestrial Baseline Conversions: Adapts the vertical geometry into a horizontal base ring gutter for 1G applications, preventing protein sediment caking to serve as a highly viable commercial fitness product option.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CENTRIFUGAL POSITIONING, AFFIRMED: spin the container and the fluid moves to the wall — rotating-frame physics at bottle scale, the same law the file's tanks and bowls run on. The vet's green stands: 'Centrifugal liquid positioning works.'</w:t>
      </w:r>
    </w:p>
    <w:p>
      <w:pPr>
        <w:spacing w:before="0" w:after="120" w:line="312" w:lineRule="auto"/>
      </w:pPr>
      <w:r>
        <w:rPr>
          <w:sz w:val="22"/>
        </w:rPr>
        <w:t xml:space="preserve">THE GUTTER AS COLLECTOR, AFFIRMED AS THE FILE'S OWN GEOMETRY: vertical reduction points gathering the wall-climbing sheet into a solid pocket — the rotating-tank gutter doctrine (Phase 64's bench lineage) translated into the lining of a drinks bottle.</w:t>
      </w:r>
    </w:p>
    <w:p>
      <w:pPr>
        <w:spacing w:before="0" w:after="120" w:line="312" w:lineRule="auto"/>
      </w:pPr>
      <w:r>
        <w:rPr>
          <w:sz w:val="22"/>
        </w:rPr>
        <w:t xml:space="preserve">THE STRAW-IN-THE-POCKET RULE, AFFIRMED AS THE WHOLE POINT: anchor the draw terminal inside the collected density and the bubble lottery closes by geometry, not by hope.</w:t>
      </w:r>
    </w:p>
    <w:p>
      <w:pPr>
        <w:spacing w:before="0" w:after="120" w:line="312" w:lineRule="auto"/>
      </w:pPr>
      <w:r>
        <w:rPr>
          <w:sz w:val="22"/>
        </w:rPr>
        <w:t xml:space="preserve">THE OWED NUMBER, SEATED: bubble-removal performance across spin rates and fill levels — how dry the draw stays as the bottle empties — is a measured quantity, not an argument. Owed in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HAND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WALLS: double-walled rigid container — no bags, no paste packets.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GUTTERS: vertical reduction points in the inner lining — the climbing sheet gathered to a pocket.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POCKET: solid-fluid density at the perimeter gate — where physics puts the water.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STRAW: flip-neck sports latch, terminal anchored in the pocket — un-broken density draw.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SPIN: slow rotation as the whole pump — the planet, miniaturized.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MADE-NOT-BORROWED DOCTRINE (seated across the file): the vector is manufactured by rotation — the bottle, the bowl, and the shower are one law at three scales.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KILL-THE-BAG DOCTRINE (the rejection): non-rigid containers are bubble lotteries with waste profiles — consumer discipline applied to life support.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GEOMETRY-NOT-HOPE DOCTRINE (the straw rule): put the terminal where the physics parks the fluid — design closes the lottery.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BENCH-THE-SIP DOCTRINE (the yellow): even a bottle earns its numbers — draw dryness across the fill range is measured, not claimed.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Mold the lining: double-wall shell with gutter reduction points formed to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latch: flip-neck seal and straw terminal anchored at the pocket gate.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Spin the bench: draw trials across spin rates and fill levels — bubble fraction per sip logged (§9's data).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Abuse it: drop, thermal, and cycle testing to consumer-hardware standards.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Crew the trial: usability and hydration logs across a working week.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molds, latch spec, draw-dryness curves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64 — the gutter bench: the rotating-tank lineage this bottle shrinks.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137 — the waste core (GP-IM-137): the same made vector, wet duty.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146 — the shower (GP-IM-146): the third scale of the same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145 — the momentum directive (GP-IM-145): what the droplet does once it leaves.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130 — the recirculation networks (GP-IM-130): the bubble's enemy in the lines, as here in the hand.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bag the water — non-rigid containers are the bubble lottery being deleted.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sip from the middle — the terminal lives in the pocket or the design is decoration.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spin bench — draw dryness is owed data, not a marketing adjective.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proliferate the parts — one bottle, one latch, one spec: the century ship's inventory law.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the bubble-removal performance data — bubble fraction per draw across spin rates and fill levels, gutter capture efficiency included. Seats additively when benched. The 12 August naming batch is carried in the §1 header.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GP-IM-136, v1.0 — CURRENT, seated law, master v2.1 (numerical print order). Built 23 August 2026, ninth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 and 576):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136</w:t>
      </w:r>
    </w:p>
    <w:sectPr>
      <w:footerReference xmlns:r="http://schemas.openxmlformats.org/officeDocument/2006/relationships" w:type="default" r:id="R5bf38f714954472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0e5f4f95bd894237" Type="http://schemas.openxmlformats.org/officeDocument/2006/relationships/styles" Target="styles.xml"/><Relationship Id="R5bf38f714954472c" Type="http://schemas.openxmlformats.org/officeDocument/2006/relationships/footer" Target="footer1.xml"/><Relationship Id="Ra4d4f7065b684478" Type="http://schemas.openxmlformats.org/officeDocument/2006/relationships/image" Target="../media/image.png"/></Relationships>
</file>