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dc5cbdd52b8434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7.png"/>
                    <pic:cNvPicPr/>
                  </pic:nvPicPr>
                  <pic:blipFill>
                    <a:blip xmlns:r="http://schemas.openxmlformats.org/officeDocument/2006/relationships" r:embed="Rb159a6ee001e4a0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147</w:t>
      </w:r>
    </w:p>
    <w:p>
      <w:pPr>
        <w:spacing w:before="0" w:after="120" w:line="312" w:lineRule="auto"/>
      </w:pPr>
      <w:r>
        <w:rPr>
          <w:sz w:val="22"/>
          <w:b/>
        </w:rPr>
        <w:t>PHASE 147: THE QUINN RESONANT ELECTROMAGNETIC WAVE HARVESTER MATS — STATUS: CURRENT — ENVIRONMENTAL POWER-DENSITY SURVEY REQUIRED; VET-FLAG REPAIR AMENDMENT SEATED 18 AUGUST 2026. Not free energy — free delivery. Phase 147 rejects the fragile silicon solar grids on outposts — dust-blind, hail-soft, payload-hungry — and sheathes the colony's outer surfaces in micro-braided inductor mats: solid-state antennas harvesting ambient electromagnetic fields, resonant-tuned, feeding solid-state sodium storage. The vet's 8 August cross-check flagged the mechanism; the author's repair order closed it, and the amendment is seated in the law: the induction is real — a coil can extract energy from a real incident electromagnetic field — what matters is that the source provides the power and the structure extracts some fraction of it. Nobody is calling ambient EM harvesting 'free energy'; the audit recorded the distinction explicitly, and the file keeps it. Around the honest core, the engineering: high-frequency inverter switches across each micro-inductor to override magnetic field-lock choking — the thermal saturation that melts continuous-duty coils — and the near-vacuum corridor advantage: thin atmosphere means ambient fields propagate unimpeded by terrestrial moisture impedance, and the mats work in the dark, in the dust, in the storm that just blinded the solar farm. The vet graded the harvesting physically real and set the honest boundary: the actual environmental power density at the site is the number that decides whether the mats are a primary supply or a garnish — the survey is owed in §9.</w:t>
      </w:r>
    </w:p>
    <w:p>
      <w:pPr>
        <w:spacing w:before="0" w:after="120" w:line="312" w:lineRule="auto"/>
      </w:pPr>
      <w:r>
        <w:rPr>
          <w:sz w:val="22"/>
        </w:rPr>
        <w:t xml:space="preserve">Primary Author &amp; Inventor: Archer Quinn, Aerospace Design Engineer, NPhD — Co-Engineers: Gemini 1 AI, Kimi Chat (the audit). Chapter GP-IM-147,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harvester law as seated (contents line, the three bodies, the 18 August repair rulings — verbatim) — §2 why induction is honest here (graded) — §3 the system on the surface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147: </w:t>
      </w:r>
      <w:r>
        <w:rPr>
          <w:sz w:val="22"/>
          <w:b/>
        </w:rPr>
        <w:t xml:space="preserve">Resonant Electromagnetic Wave Harvester Mats.</w:t>
      </w:r>
      <w:r>
        <w:rPr>
          <w:sz w:val="22"/>
        </w:rPr>
        <w:t xml:space="preserve"> Rejects fragile silicon solar grids on outposts. Sheathes the outer surfaces of Phase 19 modular habitat pods in thin-film mats woven with millions of micro-scale speaker-coil arrays, using high-frequency Phase 65 switches on microsecond on-off cycles to energy from ambient electromagnetic field fluctuations and EMP surge events t.'</w:t>
      </w:r>
    </w:p>
    <w:p>
      <w:pPr>
        <w:spacing w:before="0" w:after="120" w:line="312" w:lineRule="auto"/>
      </w:pPr>
      <w:r>
        <w:rPr>
          <w:sz w:val="22"/>
        </w:rPr>
        <w:t xml:space="preserve">THE MASTHEAD LINE (verbatim): 'Planetary Infrastructure Domain: Solid-State Ambient Field Induction &amp; Microsecond Commutation [extracted verbatim from the combined masthead line]'</w:t>
      </w:r>
    </w:p>
    <w:p>
      <w:pPr>
        <w:spacing w:before="0" w:after="120" w:line="312" w:lineRule="auto"/>
      </w:pPr>
      <w:r>
        <w:t>THE CORE OBJECTIVE (verbatim): 'Core Objective: Elimination of Colony Solar-Panel Dependence via Ambient Electromagnetic Wave Energy '</w:t>
      </w:r>
    </w:p>
    <w:p>
      <w:pPr>
        <w:spacing w:before="240" w:after="120" w:line="312" w:lineRule="auto"/>
        <w:keepNext/>
      </w:pPr>
      <w:r>
        <w:rPr>
          <w:sz w:val="22"/>
          <w:b/>
        </w:rPr>
        <w:t xml:space="preserve">THE DECENTRALIZED INDUCTIVE SHIELDING FLY (VERBATIM)</w:t>
      </w:r>
    </w:p>
    <w:p>
      <w:pPr>
        <w:spacing w:before="0" w:after="120" w:line="312" w:lineRule="auto"/>
      </w:pPr>
      <w:r>
        <w:t>* Rationale: Rejects fragile silicon solar-panel grids and heavy lead regolith cladding blankets to eliminate dust-blindness constraints and payload weight budget overruns on outposts. * Micro-Braided Inductor Mats: Sheathes the outer surfaces of Phase 19 modular habitat pods in a thin-film, multi-layered mat composed of millions of micro-scale speaker-coil arrays. * Faraday Collection Surface: the mat is a resonant electromagnetic wave harvester — millions of micro-scale speaker-coil arrays collecting ambient electromagnetic wave energy across the pod skin.</w:t>
      </w:r>
    </w:p>
    <w:p>
      <w:pPr>
        <w:spacing w:before="240" w:after="120" w:line="312" w:lineRule="auto"/>
        <w:keepNext/>
      </w:pPr>
      <w:r>
        <w:rPr>
          <w:sz w:val="22"/>
          <w:b/>
        </w:rPr>
        <w:t xml:space="preserve">THE MICROSECOND FIELD-LOCK COMMUTATION GATE (VERBATIM)</w:t>
      </w:r>
    </w:p>
    <w:p>
      <w:pPr>
        <w:spacing w:before="0" w:after="120" w:line="312" w:lineRule="auto"/>
      </w:pPr>
      <w:r>
        <w:rPr>
          <w:sz w:val="22"/>
        </w:rPr>
        <w:t>* Prevention of Magnetic Field Choking: Overrides the Magnetic Field Lock Effect where continuous induced current spikes cause thermal saturation and structural coil melting. * High-Frequency Inverter Switches: Cross-links each micro-inductor cell to solid-state Phase 65 switches calibrated to execute an automated, high-speed microsecond on-off cycle. * Pulsed Energy: Rapid circuit opening forces instantaneous localized magnetic field collapse, shedding internal thermal resistance and permitting continuous, un-impeded energy collection.</w:t>
      </w:r>
    </w:p>
    <w:p>
      <w:pPr>
        <w:spacing w:before="240" w:after="120" w:line="312" w:lineRule="auto"/>
        <w:keepNext/>
      </w:pPr>
      <w:r>
        <w:rPr>
          <w:sz w:val="22"/>
          <w:b/>
        </w:rPr>
        <w:t xml:space="preserve">THE VACUUM CORRIDOR ENERGY STORAGE MATRIX (VERBATIM)</w:t>
      </w:r>
    </w:p>
    <w:p>
      <w:pPr>
        <w:spacing w:before="0" w:after="120" w:line="312" w:lineRule="auto"/>
      </w:pPr>
      <w:r>
        <w:rPr>
          <w:sz w:val="22"/>
        </w:rPr>
        <w:t xml:space="preserve">* Near-Vacuum Wave Propagation: Capitalizes on thin atmospheric parameters to capture ambient electromagnetic fields at maximum velocity, entirely free of terrestrial moisture impedance constraints. * Solid-State Sodium Charging: Channels the high-amperage pulsed currents straight into Phase 71 Sodium-Ion battery infrastructure to maintain continuous power generation independent of starlight. * Zero-Fuel Colony Autonomy: Converts hostile space radiation vectors into a permanent civil utility asset, providing a lightweight, un-fckupable building shielding system across the frontier.</w:t>
      </w:r>
    </w:p>
    <w:p>
      <w:pPr>
        <w:spacing w:after="100" w:line="312" w:lineRule="auto"/>
        <w:ind w:left="360" w:hanging="180"/>
      </w:pPr>
      <w:r>
        <w:rPr>
          <w:sz w:val="22"/>
        </w:rPr>
        <w:t xml:space="preserve">- </w:t>
      </w:r>
      <w:r>
        <w:rPr>
          <w:sz w:val="22"/>
          <w:b/>
        </w:rPr>
        <w:t xml:space="preserve">AMENDMENT — VET-FLAG REPAIR </w:t>
      </w:r>
      <w:r>
        <w:rPr>
          <w:sz w:val="18"/>
          <w:i/>
        </w:rPr>
        <w:t xml:space="preserve">[RESOLVED 18 August 2026 — the author's repair order; closes standing flag 2 of the 8 August 2026 cross-check]</w:t>
      </w:r>
      <w:r>
        <w:rPr>
          <w:sz w:val="22"/>
          <w:b/>
        </w:rPr>
        <w:t xml:space="preserve">.</w:t>
      </w:r>
      <w:r>
        <w:rPr>
          <w:sz w:val="22"/>
        </w:rPr>
        <w:t xml:space="preserve"> The induction mechanism is real: a coil/antenna can extract energy from a real incident electromagnetic field. The open question is POWER DENSITY — 'ambient electromagnetic fluctuations' are not automatically a usable continuous energy source, and rapidly switching the coils does not manufacture energy if the incident field is not supplying it. Until the chain is measured — W/m² available → collector area → conversion efficiency → continuous electrical watts — 'elimination of colony solar-panel dependence' reads as design intent, not an established result. Classification per the vet standard: physically possible, quantitatively unsupported — the power-density calculation is owed and carried on the owed-calculations list. The objective wording stands verbatim; this amendment governs the reading.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INDUCTION MECHANISM, AFFIRMED AND BOUNDED: a coil or antenna extracts energy from a real incident field — real physics, real hardware — and the repair amendment seats the boundary verbatim: the source provides the energy; the mat extracts a fraction. No free-energy claim anywhere in the phase.</w:t>
      </w:r>
    </w:p>
    <w:p>
      <w:pPr>
        <w:spacing w:before="0" w:after="120" w:line="312" w:lineRule="auto"/>
      </w:pPr>
      <w:r>
        <w:rPr>
          <w:sz w:val="22"/>
        </w:rPr>
        <w:t xml:space="preserve">THE FIELD-LOCK OVERRIDE, AFFIRMED AS THE RIGHT ENEMY: continuous induced current in a fixed coil chokes — thermal saturation, structural melting. High-frequency commutation across micro-inductors is the standing power-electronics answer, correctly applied.</w:t>
      </w:r>
    </w:p>
    <w:p>
      <w:pPr>
        <w:spacing w:before="0" w:after="120" w:line="312" w:lineRule="auto"/>
      </w:pPr>
      <w:r>
        <w:rPr>
          <w:sz w:val="22"/>
        </w:rPr>
        <w:t xml:space="preserve">THE VACUUM CORRIDOR, AFFIRMED AS A REAL ADVANTAGE: thin atmosphere removes moisture impedance and weather from the propagation path — the outpost's hostility becomes the harvest's clarity.</w:t>
      </w:r>
    </w:p>
    <w:p>
      <w:pPr>
        <w:spacing w:before="0" w:after="120" w:line="312" w:lineRule="auto"/>
      </w:pPr>
      <w:r>
        <w:rPr>
          <w:sz w:val="22"/>
        </w:rPr>
        <w:t xml:space="preserve">THE OWED SURVEY, SEATED AS THE DECIDER: ambient EM power density at the site determines the mats' role — primary or supplement. The vet's yellow is exactly this measurement, and it is owed as a survey, not assumed as a brochure.</w:t>
      </w:r>
    </w:p>
    <w:p>
      <w:pPr>
        <w:spacing w:before="360" w:after="160" w:line="312" w:lineRule="auto"/>
        <w:keepNext/>
      </w:pPr>
      <w:r>
        <w:rPr>
          <w:sz w:val="24"/>
          <w:b/>
        </w:rPr>
        <w:t xml:space="preserve">§3 — THE SYSTEM ON THE SURFACE</w:t>
      </w:r>
    </w:p>
    <w:p>
      <w:pPr>
        <w:spacing w:after="100" w:line="312" w:lineRule="auto"/>
        <w:ind w:left="360" w:hanging="180"/>
      </w:pPr>
      <w:r>
        <w:rPr>
          <w:sz w:val="22"/>
        </w:rPr>
        <w:t xml:space="preserve">- </w:t>
      </w:r>
      <w:r>
        <w:rPr>
          <w:sz w:val="22"/>
        </w:rPr>
        <w:t xml:space="preserve">THE MATS: micro-braided inductor sheathing on the outpost's outer surfaces — no glass, no dust-blindness.</w:t>
      </w:r>
    </w:p>
    <w:p>
      <w:pPr>
        <w:spacing w:after="100" w:line="312" w:lineRule="auto"/>
        <w:ind w:left="360" w:hanging="180"/>
      </w:pPr>
      <w:r>
        <w:rPr>
          <w:sz w:val="22"/>
        </w:rPr>
        <w:t xml:space="preserve">- </w:t>
      </w:r>
      <w:r>
        <w:rPr>
          <w:sz w:val="22"/>
        </w:rPr>
        <w:t xml:space="preserve">THE TUNING: resonant geometries matched to the ambient field spectrum.</w:t>
      </w:r>
    </w:p>
    <w:p>
      <w:pPr>
        <w:spacing w:after="100" w:line="312" w:lineRule="auto"/>
        <w:ind w:left="360" w:hanging="180"/>
      </w:pPr>
      <w:r>
        <w:rPr>
          <w:sz w:val="22"/>
        </w:rPr>
        <w:t xml:space="preserve">- </w:t>
      </w:r>
      <w:r>
        <w:rPr>
          <w:sz w:val="22"/>
        </w:rPr>
        <w:t xml:space="preserve">THE GATES: high-frequency inverter switches per micro-inductor — field-lock choking overridden.</w:t>
      </w:r>
    </w:p>
    <w:p>
      <w:pPr>
        <w:spacing w:after="100" w:line="312" w:lineRule="auto"/>
        <w:ind w:left="360" w:hanging="180"/>
      </w:pPr>
      <w:r>
        <w:rPr>
          <w:sz w:val="22"/>
        </w:rPr>
        <w:t xml:space="preserve">- </w:t>
      </w:r>
      <w:r>
        <w:rPr>
          <w:sz w:val="22"/>
        </w:rPr>
        <w:t xml:space="preserve">THE STORE: solid-state sodium charging — the harvest banked.</w:t>
      </w:r>
    </w:p>
    <w:p>
      <w:pPr>
        <w:spacing w:after="100" w:line="312" w:lineRule="auto"/>
        <w:ind w:left="360" w:hanging="180"/>
      </w:pPr>
      <w:r>
        <w:rPr>
          <w:sz w:val="22"/>
        </w:rPr>
        <w:t xml:space="preserve">- </w:t>
      </w:r>
      <w:r>
        <w:rPr>
          <w:sz w:val="22"/>
        </w:rPr>
        <w:t xml:space="preserve">THE CORRIDOR: near-vacuum propagation — the thin air as the medium, not the obstacle.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NOT-FREE-ENERGY DOCTRINE (the amendment, verbatim in the law): the source provides; the mat extracts — the distinction the audit recorded and the file keeps.</w:t>
      </w:r>
    </w:p>
    <w:p>
      <w:pPr>
        <w:spacing w:after="100" w:line="312" w:lineRule="auto"/>
        <w:ind w:left="360" w:hanging="180"/>
      </w:pPr>
      <w:r>
        <w:rPr>
          <w:sz w:val="22"/>
        </w:rPr>
        <w:t xml:space="preserve">- </w:t>
      </w:r>
      <w:r>
        <w:rPr>
          <w:sz w:val="22"/>
        </w:rPr>
        <w:t xml:space="preserve">THE REPAIR-THE-FLAG DOCTRINE (18 August 2026): the author's repair order closed the standing flag in the open — the amendment seats, the law carries it.</w:t>
      </w:r>
    </w:p>
    <w:p>
      <w:pPr>
        <w:spacing w:after="100" w:line="312" w:lineRule="auto"/>
        <w:ind w:left="360" w:hanging="180"/>
      </w:pPr>
      <w:r>
        <w:rPr>
          <w:sz w:val="22"/>
        </w:rPr>
        <w:t xml:space="preserve">- </w:t>
      </w:r>
      <w:r>
        <w:rPr>
          <w:sz w:val="22"/>
        </w:rPr>
        <w:t xml:space="preserve">THE HOSTILITY-IS-CLARITY DOCTRINE (the corridor): the environment that kills solar panels is the one the mats prefer.</w:t>
      </w:r>
    </w:p>
    <w:p>
      <w:pPr>
        <w:spacing w:after="100" w:line="312" w:lineRule="auto"/>
        <w:ind w:left="360" w:hanging="180"/>
      </w:pPr>
      <w:r>
        <w:rPr>
          <w:sz w:val="22"/>
        </w:rPr>
        <w:t xml:space="preserve">- </w:t>
      </w:r>
      <w:r>
        <w:rPr>
          <w:sz w:val="22"/>
        </w:rPr>
        <w:t xml:space="preserve">THE SURVEY-BEFORE-SCALE DOCTRINE (the owed item): power density measured first; the mats' role follows the number.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Braid the mat: micro-inductor geometry and substrate trialed; resonant bands mapped.</w:t>
      </w:r>
    </w:p>
    <w:p>
      <w:pPr>
        <w:spacing w:after="100" w:line="312" w:lineRule="auto"/>
        <w:ind w:left="360" w:hanging="180"/>
      </w:pPr>
      <w:r>
        <w:rPr>
          <w:sz w:val="22"/>
        </w:rPr>
        <w:t xml:space="preserve">- </w:t>
      </w:r>
      <w:r>
        <w:rPr>
          <w:sz w:val="22"/>
        </w:rPr>
        <w:t xml:space="preserve">STEP 2 — Gate the coils: high-frequency inverter commutation benched; field-lock thermal ceiling measured and avoided.</w:t>
      </w:r>
    </w:p>
    <w:p>
      <w:pPr>
        <w:spacing w:after="100" w:line="312" w:lineRule="auto"/>
        <w:ind w:left="360" w:hanging="180"/>
      </w:pPr>
      <w:r>
        <w:rPr>
          <w:sz w:val="22"/>
        </w:rPr>
        <w:t xml:space="preserve">- </w:t>
      </w:r>
      <w:r>
        <w:rPr>
          <w:sz w:val="22"/>
        </w:rPr>
        <w:t xml:space="preserve">STEP 3 — Bank the harvest: sodium-cell charging interface qualified across input variability.</w:t>
      </w:r>
    </w:p>
    <w:p>
      <w:pPr>
        <w:spacing w:after="100" w:line="312" w:lineRule="auto"/>
        <w:ind w:left="360" w:hanging="180"/>
      </w:pPr>
      <w:r>
        <w:rPr>
          <w:sz w:val="22"/>
        </w:rPr>
        <w:t xml:space="preserve">- </w:t>
      </w:r>
      <w:r>
        <w:rPr>
          <w:sz w:val="22"/>
        </w:rPr>
        <w:t xml:space="preserve">STEP 4 — Survey the site: ambient EM power-density spectrum mapped across the outpost's day and weather — §9's owed number.</w:t>
      </w:r>
    </w:p>
    <w:p>
      <w:pPr>
        <w:spacing w:after="100" w:line="312" w:lineRule="auto"/>
        <w:ind w:left="360" w:hanging="180"/>
      </w:pPr>
      <w:r>
        <w:rPr>
          <w:sz w:val="22"/>
        </w:rPr>
        <w:t xml:space="preserve">- </w:t>
      </w:r>
      <w:r>
        <w:rPr>
          <w:sz w:val="22"/>
        </w:rPr>
        <w:t xml:space="preserve">STEP 5 — Rate the role: primary or supplement declared from the survey, not the hope.</w:t>
      </w:r>
    </w:p>
    <w:p>
      <w:pPr>
        <w:spacing w:after="100" w:line="312" w:lineRule="auto"/>
        <w:ind w:left="360" w:hanging="180"/>
      </w:pPr>
      <w:r>
        <w:rPr>
          <w:sz w:val="22"/>
        </w:rPr>
        <w:t xml:space="preserve">- </w:t>
      </w:r>
      <w:r>
        <w:rPr>
          <w:sz w:val="22"/>
        </w:rPr>
        <w:t xml:space="preserve">STEP 6 — Publish the ledger: mat specs, commutation data, the site survey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135 — the umbrella (GP-IM-135): the field environment these mats harvest is the one the flag filters.</w:t>
      </w:r>
    </w:p>
    <w:p>
      <w:pPr>
        <w:spacing w:after="100" w:line="312" w:lineRule="auto"/>
        <w:ind w:left="360" w:hanging="180"/>
      </w:pPr>
      <w:r>
        <w:rPr>
          <w:sz w:val="22"/>
        </w:rPr>
        <w:t xml:space="preserve">- </w:t>
      </w:r>
      <w:r>
        <w:rPr>
          <w:sz w:val="22"/>
        </w:rPr>
        <w:t xml:space="preserve">PHASE 133 — the century lifecycle (GP-IM-133): the outpost these mats power is the weigh-station.</w:t>
      </w:r>
    </w:p>
    <w:p>
      <w:pPr>
        <w:spacing w:after="100" w:line="312" w:lineRule="auto"/>
        <w:ind w:left="360" w:hanging="180"/>
      </w:pPr>
      <w:r>
        <w:rPr>
          <w:sz w:val="22"/>
        </w:rPr>
        <w:t xml:space="preserve">- </w:t>
      </w:r>
      <w:r>
        <w:rPr>
          <w:sz w:val="22"/>
        </w:rPr>
        <w:t xml:space="preserve">PHASE 128 — the synthesizer (GP-IM-128): the plant the harvest feeds.</w:t>
      </w:r>
    </w:p>
    <w:p>
      <w:pPr>
        <w:spacing w:after="100" w:line="312" w:lineRule="auto"/>
        <w:ind w:left="360" w:hanging="180"/>
      </w:pPr>
      <w:r>
        <w:rPr>
          <w:sz w:val="22"/>
        </w:rPr>
        <w:t xml:space="preserve">- </w:t>
      </w:r>
      <w:r>
        <w:rPr>
          <w:sz w:val="22"/>
        </w:rPr>
        <w:t xml:space="preserve">PHASE 138/139 — the cable doctrine (GP-IM-138/139): moving the harvested power.</w:t>
      </w:r>
    </w:p>
    <w:p>
      <w:pPr>
        <w:spacing w:after="100" w:line="312" w:lineRule="auto"/>
        <w:ind w:left="360" w:hanging="180"/>
      </w:pPr>
      <w:r>
        <w:rPr>
          <w:sz w:val="22"/>
        </w:rPr>
        <w:t xml:space="preserve">- </w:t>
      </w:r>
      <w:r>
        <w:rPr>
          <w:sz w:val="22"/>
        </w:rPr>
        <w:t xml:space="preserve">PHASE 124 — the autonomy mandates (GP-IM-124): the survey publishes like everything else.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print 'free energy' — the distinction is seated law: source provides, mat extracts.</w:t>
      </w:r>
    </w:p>
    <w:p>
      <w:pPr>
        <w:spacing w:after="100" w:line="312" w:lineRule="auto"/>
        <w:ind w:left="360" w:hanging="180"/>
      </w:pPr>
      <w:r>
        <w:rPr>
          <w:sz w:val="22"/>
        </w:rPr>
        <w:t xml:space="preserve">- </w:t>
      </w:r>
      <w:r>
        <w:rPr>
          <w:sz w:val="22"/>
        </w:rPr>
        <w:t xml:space="preserve">DO NOT run the coils un-gated — field-lock choking melts continuous-duty hardware; commutation is the spec.</w:t>
      </w:r>
    </w:p>
    <w:p>
      <w:pPr>
        <w:spacing w:after="100" w:line="312" w:lineRule="auto"/>
        <w:ind w:left="360" w:hanging="180"/>
      </w:pPr>
      <w:r>
        <w:rPr>
          <w:sz w:val="22"/>
        </w:rPr>
        <w:t xml:space="preserve">- </w:t>
      </w:r>
      <w:r>
        <w:rPr>
          <w:sz w:val="22"/>
        </w:rPr>
        <w:t xml:space="preserve">DO NOT scale before the survey — power density decides the role; an unsurveyed deployment is a guess with a budget.</w:t>
      </w:r>
    </w:p>
    <w:p>
      <w:pPr>
        <w:spacing w:after="100" w:line="312" w:lineRule="auto"/>
        <w:ind w:left="360" w:hanging="180"/>
      </w:pPr>
      <w:r>
        <w:rPr>
          <w:sz w:val="22"/>
        </w:rPr>
        <w:t xml:space="preserve">- </w:t>
      </w:r>
      <w:r>
        <w:rPr>
          <w:sz w:val="22"/>
        </w:rPr>
        <w:t xml:space="preserve">DO NOT spec silicon grids where the mats belong — dust-blind fragility is the failure being replaced.</w:t>
      </w:r>
    </w:p>
    <w:p>
      <w:pPr>
        <w:spacing w:before="360" w:after="160" w:line="312" w:lineRule="auto"/>
        <w:keepNext/>
      </w:pPr>
      <w:r>
        <w:rPr>
          <w:sz w:val="24"/>
          <w:b/>
        </w:rPr>
        <w:t xml:space="preserve">§9 — OWED</w:t>
      </w:r>
    </w:p>
    <w:p>
      <w:pPr>
        <w:spacing w:before="0" w:after="120" w:line="312" w:lineRule="auto"/>
      </w:pPr>
      <w:r>
        <w:rPr>
          <w:sz w:val="22"/>
        </w:rPr>
        <w:t>OWED: the environmental power-density survey — ambient EM spectrum and flux at the deployment site across duty cycles, with the mat's extraction fraction measured against it; the primary-versus-supplement rating follows the number. Seats additively when surveyed. The 18 August repair amendment and the 15 August kills are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GP-IM-147, v1.0 — CURRENT, seated law, master v2.1 (numerical print order). Built 23 August 2026, twentieth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147</w:t>
      </w:r>
    </w:p>
    <w:sectPr>
      <w:footerReference xmlns:r="http://schemas.openxmlformats.org/officeDocument/2006/relationships" w:type="default" r:id="Rdd14114dddde462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ceb6e82e71f44fa" Type="http://schemas.openxmlformats.org/officeDocument/2006/relationships/styles" Target="styles.xml"/><Relationship Id="Rdd14114dddde462a" Type="http://schemas.openxmlformats.org/officeDocument/2006/relationships/footer" Target="footer1.xml"/><Relationship Id="Rb159a6ee001e4a05" Type="http://schemas.openxmlformats.org/officeDocument/2006/relationships/image" Target="../media/image.png"/></Relationships>
</file>