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fab75ef717fb451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5.png"/>
                    <pic:cNvPicPr/>
                  </pic:nvPicPr>
                  <pic:blipFill>
                    <a:blip xmlns:r="http://schemas.openxmlformats.org/officeDocument/2006/relationships" r:embed="R2b7f29e4f3de4be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15</w:t>
      </w:r>
    </w:p>
    <w:p>
      <w:pPr>
        <w:spacing w:before="0" w:after="120" w:line="312" w:lineRule="auto"/>
      </w:pPr>
      <w:r>
        <w:rPr>
          <w:sz w:val="22"/>
          <w:b/>
        </w:rPr>
        <w:t>PHASE 15: BOW-RAIL REUSABLE MMWAVE RADAR "PHANTOM" NAVIGATION ROCKETS — STATUS: CURRENT. The ship's forward eyes: reusable radar rockets fired from the bow rail on a 60-minute cadence, scanning thousands of miles ahead through dust and dark, feeding ultra-dense telemetry to the helm, then flipping 180 degrees, braking, and flying home into the underside hangar bay to be caught, refueled, and cycled forward again. Flanking mini-sats — the phantom sister ships — sweep the lateral void for blind-side hazards. Vetted: PASS — navigation concept, with the open items carried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GP-IM-015, v1.0 — 20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phantom law as seated (contents line and both design bullets, verbatim) — §2 why it works (the physics, graded with the vet's constraint) — §3 the system on the ship (the fire-and-catch cycle, the sister-ship divergence) — §4 the doctrine record (how the book already fights with these rockets)—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PHANTOM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'Launches short-range, reusable guidance rockets from the forward hull tracks. Rockets project high-density mmWave radar tracking lines through dense dust clouds or nebulas, charting safe navigation corridors ahead of the main ship.' </w:t>
      </w:r>
      <w:r>
        <w:rPr>
          <w:sz w:val="18"/>
          <w:i/>
        </w:rPr>
        <w:t xml:space="preserve">[VET CONSTRAINT, seated §5: read 'through dense dust clouds or nebulas' as mmWave forward reconnaissance in particulate environments — not a guarantee of penetrating every dense nebula; a nebula's density, ionisation and plasma properties vary enormously, and propagation is set by wavelength, particle size and concentration.]</w:t>
      </w:r>
    </w:p>
    <w:p>
      <w:pPr>
        <w:spacing w:before="0" w:after="120" w:line="312" w:lineRule="auto"/>
      </w:pPr>
      <w:r>
        <w:rPr>
          <w:sz w:val="22"/>
        </w:rPr>
        <w:t xml:space="preserve">THE SEATED DESIGN BODY — FIRE-AND-CATCH (verbatim): 'Fire-and-Catch Navigation Probes: Reusable mmWave radar rockets fired from the bow rail every 60 minutes. Probes scan thousands of miles ahead,transmit ultra-dense telemetry data back to the helm, flip 180°,brake via retrorockets, and reverse into an underside pass-through open vacuum hangar bay to be captured magnetically,refueled, and cycled back to the bow.'</w:t>
      </w:r>
    </w:p>
    <w:p>
      <w:pPr>
        <w:spacing w:before="0" w:after="120" w:line="312" w:lineRule="auto"/>
      </w:pPr>
      <w:r>
        <w:rPr>
          <w:sz w:val="22"/>
        </w:rPr>
        <w:t xml:space="preserve">THE SEATED DESIGN BODY — PHANTOM SISTER SHIPS (verbatim): 'Phantom Sister Ships: The vessel executes a 60-minute course divergence to Port and Starboard,ejecting radar mini-sats before returning to the central vector. The flanking probes preserve velocity conservation, traveling parallel miles out to scan the lateral void for perpendicular, blind-side hazards.'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SENSOR: mmWave radar (millimetre-wave) out-sees optical systems in dust and particulate — the long wavelength ignores grains that scatter light blind. That is why the phantoms fly where cameras would be useless: dense dust, debris haze, the dark between stars. THE VET'S CONSTRAINT, AFFIRMED AND SEATED: a nebula is not simply 'space dust' — density, ionisation, plasma properties and composition vary enormously, and radar propagation is determined by wavelength, particle size and concentration, and plasma/electromagnetic behaviour. So the retained claim is mmWave forward reconnaissance in particulate environments — strong, real, and honest — not guaranteed penetration of every dense nebula. The doctrine already knows: where the ionized clouds turn volatile and conductive, the ship swaps its posture (§4).</w:t>
      </w:r>
    </w:p>
    <w:p>
      <w:pPr>
        <w:spacing w:before="0" w:after="120" w:line="312" w:lineRule="auto"/>
      </w:pPr>
      <w:r>
        <w:rPr>
          <w:sz w:val="22"/>
        </w:rPr>
        <w:t xml:space="preserve">THE CYCLE: fire -&gt; scan -&gt; flip 180° -&gt; retrorocket brake -&gt; reverse -&gt; magnetic capture is physically possible in principle — the vet graded it so — with one honest condition: the probe needs enough delta-v to execute the recovery manoeuvre. That is a propellant/trajectory calculation, not a physics contradiction, and it sits in §9 as an owed figure. THE SISTER SHIPS: the flankers preserve velocity conservation — they are ejected during a deliberate 60-minute port/starboard divergence and travel parallel miles out, so the lateral sweep costs the ship nothing in course-keeping; the mini-sats become parallel travelers scanning the perpendicular void the forward phantoms cannot see.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SHIP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BOW RAIL: the forward hull tracks are the launch spine — rockets leave from the bow, so the scan always leads the ship. Cadence: one fire every 60 minutes, standing.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TELEMETRY: ultra-dense, back to the helm in flight — the corridor chart grows ahead of the hull continuously, not in snapshots.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RECOVERY: flip 180°, retrorocket brake, reverse into the underside pass-through open vacuum hangar bay; magnetic capture; refuel; cycle back to the bow. The bay is pass-through — the rocket does not dock, it flows through the loop.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SISTER SHIPS: every 60 minutes the ship itself diverges to port and starboard, ejecting radar mini-sats before returning to the central vector — the lateral void gets swept on the same cadence as the forward scan.</w:t>
      </w:r>
    </w:p>
    <w:p>
      <w:pPr>
        <w:spacing w:before="0" w:after="120" w:line="312" w:lineRule="auto"/>
      </w:pPr>
      <w:r>
        <w:rPr>
          <w:sz w:val="22"/>
        </w:rPr>
        <w:t xml:space="preserve">INTEGRATION NOTE (audit, flagged): the bow rail, bay and capture gear ride the hull — the 94mm stack (GP-IM-013 v1.4) stands unchanged; the rail and bay apertures are hull furniture, seated in the Phase 6 architecture. Placement and aperture specs ride the bench (§9).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FIGHTS WITH THESE ROCKETS)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SCOUT VERIFICATION (the nebula doctrine): normal navigation relies on Phase 15 bow-rail radar rockets flying 1 hour ahead of the hull to flag and avoid volatile ionized gas anomalies — the phantoms are the tripwire that tells the armor-over-stealth swap when to happen.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CROSS-AXIS VECTORING: prior to primary course acceleration, the bow rail launchers fire massive fleets of Phase 15 mmWave radar probes out of the non-flight axes — the scan is not only forward; the whole sphere gets swept before the ship commits.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EARLY-WARNING PERIMETER: Phase 15/17 scout arrays establish a distributed sensor perimeter — 15-minute to 1-hour tactical warning of storm-density plasma and charged-particle fronts.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SECOND LIFE: captured orbital scrap is fitted with Phase 15 directional actuators and steered into pinpoint landings on un-inhabited, zero-atmosphere moons — the phantom drive unit is a standard part beyond the rocket itself.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rocket around the radar: the mmWave array is the payload and the purpose; airframe, tank and retrorocket stage wrap around it, not the reverse.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Fit the telemetry plant: ultra-dense real-time downlink to the helm — the rocket is a sensor with an engine, and its product is data, not hardware preservation. Reuse is the economy; the data is the mission.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Install the bow rail tracks on the forward hull; commission the fire cadence controller (60 minutes, standing) with manual helm override.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Build the underside pass-through bay: open vacuum hangar, through-flow, magnetic capture cradle, refuel coupling, and the cycle trunk back to the bow. Test the capture loop with dead-weight rounds before live propellant.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Commission the sister-ship divergence: the 60-minute port/starboard maneuver, the mini-sat ejectors, and the velocity-conservation bookkeeping at the helm so the lateral sweep never costs the course.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Bench the recovery delta-v budget end-to-end (§9) and seat the figures; only then call the loop operational.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 — Piezoelectric Acoustic Phase-Inversion Defensive Shields (GP-IM-014 v1.3): the cluster mate — 14 answers what arrives as vibration; 15 sees it coming first.</w:t>
      </w:r>
    </w:p>
    <w:p>
      <w:pPr>
        <w:spacing w:after="100" w:line="312" w:lineRule="auto"/>
        <w:ind w:left="360" w:hanging="180"/>
      </w:pPr>
      <w:r>
        <w:rPr>
          <w:sz w:val="22"/>
        </w:rPr>
        <w:t>- PHASES 16-18 — the cluster mates: 16's station-kept data-highway buoys carry the phantom telemetry's long haul; 17's debris beacons join 15 in the early-warning perimeter (15/17); 18's radial array joins 15 as the detection pair (15/18).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48 — the nebula doctrine (the armor-over stealth swap): the phantoms fly one hour ahead as the tripwire for the volatile ionized clouds.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 — Hull &amp; Structure (GP-IM-006 v1.4): the bow rail, the pass-through bay and the capture loop seat in the hull architecture.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94mm stack (GP-IM-013 v1.4): the hull the rail and bay ride on; unchanged by this phase.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sell mmWave as 'through every dense nebula' — the vet constraint is seated law of reading: particulate environments yes; every nebula, no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treat the recovery loop as free — no operational cadence until the delta-v budget is benched and seated (§9).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sister-ship divergence drift the course — velocity conservation is the design's own law; the helm books it every cycle.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optical-only substitution in dust — the mmWave array is the point of the phase; cameras ride along, they do not replace.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VET'S OPEN LIST, STILL OPEN (seated verbatim): probe mass, radar power, range, Δv and recovery trajectory. Plus, this chapter's bench: bow-rail and bay placement and aperture specs on the 94mm hull (§3); sister-sat unit count and endurance; the capture-loop's dead-weight test figures. All owed items ride the bench until spoken.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GP-IM-015, v1.0 — CURRENT, seated law, master v2.1 (numerical print order). Built 20 August 2026.</w:t>
      </w:r>
    </w:p>
    <w:p>
      <w:pPr>
        <w:spacing w:before="0" w:after="120" w:line="312" w:lineRule="auto"/>
      </w:pPr>
      <w:r>
        <w:rPr>
          <w:sz w:val="22"/>
        </w:rPr>
        <w:t>PROVENANCE — HIS ORDER, VERBATIM: 'add the silcone to stores and tools as well then 15'.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Next version triggers: the owed figures of §9, rail/bay placement rulings, or his word.</w:t>
      </w:r>
    </w:p>
    <w:p>
      <w:pPr>
        <w:spacing w:before="0" w:after="120" w:line="312" w:lineRule="auto"/>
      </w:pPr>
      <w:r>
        <w:rPr>
          <w:sz w:val="22"/>
        </w:rPr>
        <w:t xml:space="preserve">END OF CHAPTER 15</w:t>
      </w:r>
    </w:p>
    <w:sectPr>
      <w:footerReference xmlns:r="http://schemas.openxmlformats.org/officeDocument/2006/relationships" w:type="default" r:id="Rd4cefdfb6a8b439c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3dd9bf78eceb40a2" Type="http://schemas.openxmlformats.org/officeDocument/2006/relationships/styles" Target="styles.xml"/><Relationship Id="Rd4cefdfb6a8b439c" Type="http://schemas.openxmlformats.org/officeDocument/2006/relationships/footer" Target="footer1.xml"/><Relationship Id="R2b7f29e4f3de4bea" Type="http://schemas.openxmlformats.org/officeDocument/2006/relationships/image" Target="../media/image.png"/></Relationships>
</file>