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4b967feb51d495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6.png"/>
                    <pic:cNvPicPr/>
                  </pic:nvPicPr>
                  <pic:blipFill>
                    <a:blip xmlns:r="http://schemas.openxmlformats.org/officeDocument/2006/relationships" r:embed="R4134c8fe517f4aa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16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16: STARLINK-CLASS NON-ORBITAL STATIONARY DATA HIGHWAY BUOYS — STATUS: CURRENT.</w:t>
      </w:r>
      <w:r>
        <w:rPr>
          <w:sz w:val="22"/>
        </w:rPr>
        <w:t xml:space="preserve"> The ship's trailing backbone: relay buoys dropped along the vector path, each one station-kept by micro-thrusters against the solar wind, each one linked to its neighbours by Phase 7 prism lasers — an un-broken high-bandwidth data highway across deep vacuum runs, growing behind the hull as the ship runs. Vetted: PASS — optical relay network, with the station-keeping and pointing requirements carried in §5 and the owed figures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GP-IM-016, v1.0 — 20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buoy law as seated (contents line and design body, verbatim) — §2 why it works (the physics, graded with the vet's 'stationary' correction) — §3 the system on the ship — §4 the doctrine record (what already rides the highway)—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'Deploys a sequence of laser-anchored, stationary telemetry buoys along the transit corridor, forming an un-broken data highway across deep vacuum runs.'</w:t>
      </w:r>
    </w:p>
    <w:p>
      <w:pPr>
        <w:spacing w:before="0" w:after="120" w:line="312" w:lineRule="auto"/>
      </w:pPr>
      <w:r>
        <w:rPr>
          <w:sz w:val="22"/>
        </w:rPr>
        <w:t xml:space="preserve">THE SEATED DESIGN BODY (verbatim): 'Stationary Space Buoys: Starlink-style non-orbital relay sat buoys dropped along the vector path. Micro-thrusters execute active station-keeping against solar winds. Linked via Phase 7 prism lasers, they maintain a high-bandwidth data highway.'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RELAY: a laser communication relay in vacuum is physically straightforward — the vet's own words: 'That's physically straightforward. A laser communication relay in vacuum works.' No atmosphere to scatter, no weather to fade; the link budget is aperture, power, pointing and range, and the data rate can be extremely high.</w:t>
      </w:r>
    </w:p>
    <w:p>
      <w:pPr>
        <w:spacing w:before="0" w:after="120" w:line="312" w:lineRule="auto"/>
      </w:pPr>
      <w:r>
        <w:rPr>
          <w:sz w:val="22"/>
        </w:rPr>
        <w:t xml:space="preserve">THE CORRECTION, SEATED: the word 'stationary' means STATION-KEPT RELATIVE TO THE INTENDED REFERENCE FRAME — not motionless in any absolute sense. A buoy in deep space does not naturally hold place relative to a moving corridor; that is exactly why the design body carries micro-thrusters executing active station-keeping against solar winds. The seated architecture is deployed relay + propulsion/attitude control + optical link — and the vet graded precisely that architecture 'fine.'</w:t>
      </w:r>
    </w:p>
    <w:p>
      <w:pPr>
        <w:spacing w:before="0" w:after="120" w:line="312" w:lineRule="auto"/>
      </w:pPr>
      <w:r>
        <w:rPr>
          <w:sz w:val="22"/>
        </w:rPr>
        <w:t xml:space="preserve">THE HONEST HOP BUDGET: the relay does not create an INSTANTANEOUS highway. Each hop introduces propagation delay, pointing requirements, acquisition/tracking time, finite bandwidth, and relay processing time. Light-lag is law: a buoy chain across a deep run carries the delay of its own length. The highway is un-broken, not instant — and for ship traffic trailing the corridor, un-broken is the quality that matters.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SHIP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DROP: buoys are laid along the vector path as the ship runs — the highway is built by the voyage itself, each buoy a permanent breadcrumb of the corridor.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KEEPING: micro-thrusters per buoy hold position against the solar wind — continuous, low-thrust, autonomous. Station-keeping is the phase's own word for what 'stationary' honestly costs.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LINK: Phase 7 prism lasers, buoy to buoy and buoy to ship — line-of-sight optical, high-bandwidth, narrow-beam. Pointing and acquisition ride every link.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PAIRING: the buoys are the corridor half of the 16/17 architecture — ship-side, the Phase 17 optical lens port points are what the highway talks to.</w:t>
      </w:r>
    </w:p>
    <w:p>
      <w:pPr>
        <w:spacing w:before="0" w:after="120" w:line="312" w:lineRule="auto"/>
      </w:pPr>
      <w:r>
        <w:rPr>
          <w:sz w:val="22"/>
        </w:rPr>
        <w:t xml:space="preserve">INTEGRATION NOTE (audit, flagged): the buoys are free-flyers — they touch the hull only at stowage and drop. Stowage count, drop mechanism and corridor-side spacing ride the bench (§9).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>- THE OPTICAL TELEMETRY LOOP : 'Transponders broadcast tracking pings through the Phase 17 optical port points directly to the Phase 16/17 satellite-buoy arrays.' — the highway is the tracking backbone, not just comms.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DIGITAL VERIFICATION APPLICATION (seated law): a legal claim's document of application is 'a live, unalterable high-bandwidth video telemetry link broadcast from the physical site directly to the governing council, verifying the exact signal source coordinates via the Phase 16/17 satellite relay highway.' — the highway carries evidence, and the evidence must be live.</w:t>
      </w:r>
    </w:p>
    <w:p>
      <w:pPr>
        <w:spacing w:after="100" w:line="312" w:lineRule="auto"/>
        <w:ind w:left="360" w:hanging="180"/>
      </w:pPr>
      <w:r>
        <w:rPr>
          <w:sz w:val="22"/>
        </w:rPr>
        <w:t>- THE SWARM EPIDEMIOLOGICAL AUDIT : outbreak mapping and modification data 'is relayed via the Phase 16 data highway to deep-space colonies and active vessels.' — the highway is also the health wire.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EARTH RINGS (seated deployment doctrine): 'Launches high-density arrays of Phase 16/17 stationary relay buoys in concentric Horizontal (Equatorial) and Vertical (Polar) tracks around Earth' — the same buoy, home-side, immediately post-atmospheric exit out of the Deck 6 bays.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buoy around the link: the prism-laser transceiver pair (fore/aft faces) is the payload and the purpose; bus, cell and thrusters wrap around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keep: micro-thruster set + attitude control sized against solar-wind perturbation at the corridor's design distance from the local star; the keeping is autonomous, the ship does not babysit.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Fit the acquisition: each buoy must find, point and hold its neighbours — acquisition/scan on deployment, then closed-loop tracking. No un-aimed links.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Build the drop: stowage rack and drop mechanism at the hull, cadence controller at the helm — spacing set by the link budget (§9), not by habit.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Commission the highway protocol: addressing, relay processing, delay bookkeeping — every message on the chain carries its hop count and its light-lag.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Bench the link budget end-to-end (§9) and seat the figures; only then call a corridor open.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 — the prism lasers: the highway's link layer is Phase 7 hardware — spectral tuning lasers, pointed, line-of-sight.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 — the optical lens port points (GP-IM-017): the ship-side half of the 16/17 architecture — the buoys talk to the flush AlON lens points, not to protruding antennas.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 — the phantoms (GP-IM-015 v1.0): the phantom telemetry's long haul home rides the buoy chain when the corridor has 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18 — the radial array (GP-IM-018): the mapping probes' returns feed the same highway; the astrometrics data property law rides it (§4, GP-IM-018).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 — Hull &amp; Structure (GP-IM-006 v1.4): the stowage rack and drop apertures seat in the hull architecture; the Deck 6 bays carry the Earth-ring deployment (§4).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sell 'stationary' as motionless — the vet's correction is seated law of reading: station-kept against the solar wind, reference-framed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sell the highway as instantaneous — the hop budget is seated: delay, pointing, acquisition, bandwidth, processing per hop (§2).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fly a buoy without working acquisition — an un-pointed optical relay is debris with a battery (§6, step 3).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radio-dish substitution — the link layer is Phase 7 prism laser by design; radio rides along at most, it does not replace.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BENCH, OWED: buoy unit mass, power budget and cell endurance; station-keeping propellant budget vs solar wind at design standoff; per-hop link budget (range, aperture, data rate, acquisition time); drop cadence and corridor spacing; constellation count per transit and per Earth-ring set. The vet's requirements stand: station keeping and pointing — both specified, neither yet figured. All owed items ride the bench until spoken.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GP-IM-016, v1.0 — CURRENT, seated law, master v2.1 (numerical print order, post-split). Built 20 August 2026.</w:t>
      </w:r>
    </w:p>
    <w:p>
      <w:pPr>
        <w:spacing w:before="0" w:after="120" w:line="312" w:lineRule="auto"/>
      </w:pPr>
      <w:r>
        <w:rPr>
          <w:sz w:val="22"/>
        </w:rPr>
        <w:t>PROVENANCE — HIS ORDER, VERBATIM: '16 and then bed for me, after we finish that you can do 17 to 27 and i will read all 10 first thing to see if we can get through them faster in blocks'. THE COUNT, HONEST (the audit's standing job): 17 to 27 inclusive is ELEVEN chapters, not ten — all eleven are built in this run; block-reading order is his to choose.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Next version triggers: the owed figures of §9, drop-geometry rulings, or his word.</w:t>
      </w:r>
    </w:p>
    <w:p>
      <w:pPr>
        <w:spacing w:before="0" w:after="120" w:line="312" w:lineRule="auto"/>
      </w:pPr>
      <w:r>
        <w:rPr>
          <w:sz w:val="22"/>
        </w:rPr>
        <w:t xml:space="preserve">END OF CHAPTER 16</w:t>
      </w:r>
    </w:p>
    <w:sectPr>
      <w:footerReference xmlns:r="http://schemas.openxmlformats.org/officeDocument/2006/relationships" w:type="default" r:id="Rc53c1c2c583f49e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a9cf43a6036c46c5" Type="http://schemas.openxmlformats.org/officeDocument/2006/relationships/styles" Target="styles.xml"/><Relationship Id="Rc53c1c2c583f49e7" Type="http://schemas.openxmlformats.org/officeDocument/2006/relationships/footer" Target="footer1.xml"/><Relationship Id="R4134c8fe517f4aa3" Type="http://schemas.openxmlformats.org/officeDocument/2006/relationships/image" Target="../media/image.png"/></Relationships>
</file>