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3b3ad4c270854d3c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</w:pPr>
      <w:r>
        <w:rPr>
          <w:rFonts w:ascii="Calibri" w:hAnsi="Calibri" w:eastAsia="Calibri" w:cs="Calibri"/>
          <w:sz w:val="22"/>
          <w:color w:val="1A1A1A"/>
          <w:szCs w:val="22"/>
        </w:rPr>
        <w:t>THE GEMINI PROTOCOLS — CHAPTER 02</w:t>
      </w:r>
    </w:p>
    <w:p>
      <w:pPr>
        <w:pStyle w:val="Normal"/>
      </w:pPr>
      <w:r>
        <w:rPr>
          <w:rFonts w:ascii="Calibri" w:hAnsi="Calibri" w:eastAsia="Calibri" w:cs="Calibri"/>
          <w:sz w:val="22"/>
          <w:color w:val="1A1A1A"/>
          <w:szCs w:val="22"/>
        </w:rPr>
        <w:t>PHASE 02: THE QUINN SELF-TREADING ENDLESS WHEEL</w:t>
      </w:r>
    </w:p>
    <w:p>
      <w:pPr>
        <w:pStyle w:val="Normal"/>
        <w:spacing w:before="0" w:after="0"/>
        <w:jc w:val="center"/>
      </w:pPr>
      <w:r>
        <w:drawing>
          <wp:inline distT="0" distB="0" distL="0" distR="0">
            <wp:extent cx="5943600" cy="7955279"/>
            <wp:docPr id="1000" name="cover1000"/>
            <a:graphic>
              <a:graphicData uri="http://schemas.openxmlformats.org/drawingml/2006/picture">
                <pic:pic>
                  <pic:nvPicPr>
                    <pic:cNvPr id="0" name="cover_p02.png"/>
                    <pic:cNvPicPr/>
                  </pic:nvPicPr>
                  <pic:blipFill>
                    <a:blip r:embed="R57c54fcfb0ea4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>
          <w:rFonts w:ascii="Calibri" w:hAnsi="Calibri"/>
          <w:sz w:val="22"/>
          <w:color w:val="1A1A1A"/>
        </w:rPr>
        <w:br w:type="page"/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§0 — READ THIS FIRST (HOW TO USE THIS CHAPTER)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this chapter is written for idiot-proofing — for AIs and for speed. Rules: (1) Build exactly what is written here; every figure and law is seated from the master record. (2) Where this phase references another phase, THE DIRECTIONS FROM THAT PHASE ARE INLINED IN §7 — you never leave this document mid-build. (3) Rejected options are listed in §8 — do not re-derive them. (4) Owed-to-bench items are listed in §9 — they are the build's test program, not gaps in the design. (5) Change control is §10: only the Author's orders change this design.</w:t>
      </w:r>
    </w:p>
    <w:p>
      <w:pPr>
        <w:pStyle w:val="Normal"/>
        <w:spacing w:after="100" w:line="312" w:lineRule="auto"/>
        <w:ind w:left="360" w:hanging="180"/>
      </w:pPr>
      <w:r>
        <w:rPr>
          <w:sz w:val="24"/>
          <w:rFonts w:ascii="Calibri" w:hAnsi="Calibri" w:eastAsia="Calibri" w:cs="Calibri"/>
          <w:color w:val="1A1A1A"/>
          <w:b/>
          <w:szCs w:val="24"/>
        </w:rPr>
        <w:t xml:space="preserve">LUNAR CARRIAGE LAW — </w:t>
      </w:r>
      <w:r>
        <w:rPr>
          <w:sz w:val="22"/>
          <w:rFonts w:ascii="Calibri" w:hAnsi="Calibri" w:eastAsia="Calibri" w:cs="Calibri"/>
          <w:color w:val="1A1A1A"/>
          <w:szCs w:val="22"/>
        </w:rPr>
        <w:t>All lunar products designed to be taken in an 80's space shuttle</w:t>
      </w:r>
    </w:p>
    <w:p>
      <w:pPr>
        <w:pStyle w:val="Normal"/>
        <w:spacing w:before="0" w:after="120" w:line="312" w:lineRule="auto"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§1 — WHAT YOU ARE BUILDING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LAW: a wheel that renews its tread as it wears cannot be worn through. The Endless Wheel has no monolithic outer surface — it is TUBES AND RODS all the way from tread to hub, and the tread feeds itself from inside. As the wheel wears, springs push fresh rod to the surface; the rod cannot fall out (taper-locked) and the tread self-levels on uneven ground (each rod feeds independently). Same size and materials as the NASA rover wheel (~15-year life) gives a 50-YEAR ESTIMATE — the Author's estimate, pending bench (§9, Draw Rule applies).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§2 — THE DIAGNOSIS (WHY THIS DESIGN EXISTS)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failure that wrecked the NASA Mars rover's wheels was not material choice but DESIGN: a monolithic outer surface, once pierced or worn, tears out in chunks. Wear-through and chunk-tear are failures of a SKIN. Variances in materials all have different consequences — so the fix is architectural: remove the skin. There is no solid piece to be chewed out in a chunk by a crack.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§3 — THE ARCHITECTURE (BUILD SPEC)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TUBES: hexagonal tubes running from the outer tyre/wheel face back to the rim/hub — only tubes and tube walls, tread to hub.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TREAD: sliding hexagonal rods inside the tubes, graphite-grease coated so dust cannot climb the wall.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FEED: high-pressure no-bounce springs loaded from the CENTRE as the feed mechanism; each spring sleeved against dust and sealed into the hub/rim from the rear. As the wheel wears it renews with new tread; because each rod feeds independently, the tread SELF-LEVELS on uneven ground.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5-DEGREE LOCK: rod and tube both taper — outer end slightly smaller than inner end — so the rod is geometrically FORBIDDEN from exiting. It cannot fall out; it can only wear out.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§4 — THE VARIANTS LAW (THE WHOLE WHEEL IS THE WEAR SYSTEM)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THE LAW: every contact element of an Endless Wheel wears, and all of it wears AT ONE RATE — any element that cannot wear becomes the failure the design exists to delete. The frame must wear down WITH the wheel, at the same speed. By variant: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SPACE / ROVER: metal frame and metal rods (the original seating, unchanged). The metal frame stands ONLY for this variant.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EARTH TRACTOR: the same rubber as the tyre — frame and rods one material family. The farm precedent stands: tractor tyres are filled with water for ballast weight, so a self-renewing ballast-carrying ag wheel is a real product shape.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EARTH PRODUCTION-LINE: NO STEEL — a similar-speed wear-polymer frame with polymer rods, so the entire contact wheel is one matched-wear pair and no metal ever stands proud of the tread plane. Market named by the Author: conveyor and bottle-rolling wheels, dramatically increased life.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§5 — THE LUBRICANT LAW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lubricant is NOT a namable item: grease, graphite or silicone base is specified RELATIVE TO WHAT THE ROD/MEDIUM IS — never as one universal name.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SUPERBALL LAW: many media are grip-adhesive to themselves (roll one superball up to another — it grabs, not merely counter-rotates). The lubricant must NEUTRALIZE SELF-ADHESION or the feed sticks.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General tyre rubber is tolerant — any petroleum product makes it greasy.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NOMINATED PRODUCT (added to stores, Book of Lists LIST FOUR, by his order): TRU-BLU NEVERMELT BENTONITE — clay-thickened non-melt class, no dropping point.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DUAL PURPOSE (Earth edition): the grease is not just the dust wall — it keeps the rod from perishing. Same seal-the-skin doctrine as the Vaseline-coated feedstock blocks (§7).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MAINTENANCE: grease nipples to keep the seal intact. The jacket precedent is the CV-joint boot every old car carries: rubber sleeve, grease in, dirt out.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§6 — MANUFACTURE</w:t>
      </w:r>
    </w:p>
    <w:p>
      <w:pPr>
        <w:pStyle w:val="Normal"/>
        <w:spacing w:before="0" w:after="120" w:line="312" w:lineRule="auto"/>
      </w:pPr>
      <w:r>
        <w:rPr>
          <w:sz w:val="22"/>
          <w:rFonts w:ascii="Calibri" w:hAnsi="Calibri" w:eastAsia="Calibri" w:cs="Calibri"/>
          <w:color w:val="1A1A1A"/>
          <w:szCs w:val="22"/>
        </w:rPr>
        <w:t>Molded or 3D printed. The rods, tubes and hub print from Phase 274 fifty-year feedstock BLOCKS — the wheel and its printer were seated the same day. Full feedstock directions inlined at §7.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§7 — CROSS-PHASE DIRECTIONS, INLINED (PROGRAM LAW: DIRECTIONS, NOT POINTERS)</w:t>
      </w:r>
    </w:p>
    <w:p>
      <w:pPr>
        <w:pStyle w:val="Normal"/>
        <w:spacing w:before="240" w:after="120" w:line="312" w:lineRule="auto"/>
        <w:keepNext/>
      </w:pPr>
      <w:r>
        <w:rPr>
          <w:sz w:val="22"/>
          <w:b/>
          <w:rFonts w:ascii="Calibri" w:hAnsi="Calibri" w:eastAsia="Calibri" w:cs="Calibri"/>
          <w:color w:val="1A1A1A"/>
          <w:szCs w:val="22"/>
        </w:rPr>
        <w:t>§7.1 From PHASE 274 — THE FIFTY-YEAR FEEDSTOCK: BLOCKS, NOT SPOOLS (what the wheel prints from)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LAW: store bulk, cord on demand. Spooled feedstock dies on the shelf — polymer hydrolyzes and embrittles like old whipper-snipper cord; metal powder, being all surface, oxidizes factorially faster than bulk. The answer is the BLOCK: bulk stock, sealed, portioned and powdered only at the point of use.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STORAGE: blocks of polymer or metal, covered in Vaseline and sealed in plastic wrap or vacuum sealed. Fifty-year shelf is the design target; the grease barrier is century-proven practice.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PORTIONING: blocks go through a bandsaw for the amount required — metal saw for metal.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CORD/FILAMENT LINE: portions through the shredder (the plastic factory's regrind practice), into the premelt, into the screw-fed extruder — cord/filament out. All current tech; the screw feeder is the standard feeder.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METALS: all 3D-printer metals are powder composite, so industrial-level printing is available. A dozen powdering methods exist; gas atomization is the fastest. Bound powder is optimal for metal parts.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ZERO-G MELT PLANT (ship-side): the cake-oven g-force system for crucible melts (Phase 129/130 centrifugal heritage — heritage reference; the directions here are complete for this build); gas injection pressure-vented to collection lines of rotating-wall-screw mechanics; sleeve field oscillation on the walls to prevent caking.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THE NOT-AIRTIGHT LAW: powder stock is sealed for zero-g housekeeping but NOT airtight — nothing flows from a sealed unit into a heated, pressurized melt-and-extrusion zone without displacement air flow. Sealed against powder escape, VENTED for flow.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§8 — REJECTED AND SUPERSEDED OPTIONS (DO NOT BUILD)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REJECTED — the monolithic wear skin: that is the failure mode this design exists to delete (§2). No solid outer surface, ever.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SUPERSEDED — 'metal frame' as a universal spec: metal frame stands ONLY for the space/rover variant. Earth variants wear-match by family (§4).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REJECTED — one universal lubricant name: lubricant is specified relative to the medium, always (§5).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REJECTED — airtight powder stock: vented for flow (§7.1, the not-airtight law).</w:t>
      </w:r>
    </w:p>
    <w:p>
      <w:pPr>
        <w:pStyle w:val="Normal"/>
        <w:spacing w:before="360" w:after="160" w:line="312" w:lineRule="auto"/>
        <w:keepNext/>
      </w:pPr>
      <w:r>
        <w:rPr>
          <w:sz w:val="24"/>
          <w:b/>
          <w:rFonts w:ascii="Calibri" w:hAnsi="Calibri" w:eastAsia="Calibri" w:cs="Calibri"/>
          <w:color w:val="1A1A1A"/>
          <w:szCs w:val="24"/>
        </w:rPr>
        <w:t>§9 — OWED TO THE BENCH (THE TEST PROGRAM)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Spring preload sizing against terrain contact pressure.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Graphite/regolith lapping-paste test of the sleeve-and-rear-seal.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Wear-rate measurement for the 50-year claim (the Author's estimate — pending bench, Draw Rule applies).</w:t>
      </w:r>
    </w:p>
    <w:p>
      <w:pPr>
        <w:pStyle w:val="Normal"/>
        <w:spacing w:after="100" w:line="312" w:lineRule="auto"/>
        <w:ind w:left="360" w:hanging="180"/>
      </w:pPr>
      <w:r>
        <w:rPr>
          <w:sz w:val="22"/>
          <w:rFonts w:ascii="Calibri" w:hAnsi="Calibri" w:eastAsia="Calibri" w:cs="Calibri"/>
          <w:color w:val="1A1A1A"/>
          <w:szCs w:val="22"/>
        </w:rPr>
        <w:t>- Formal patent search behind the lineage claim: the airless tube tyre family is old (the Author invented the extruded horizontal-tube tyre decades before it appeared publicly), but this wheel is not extruded, and no prior art within the audit's reach renews tread by spring-fed taper-locked rods; 'never proposed' stands as the Author's claim pending the search.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STATUS, PROVENANCE, CHANGE CONTROL</w:t>
      </w:r>
    </w:p>
    <w:p>
      <w:pPr>
        <w:spacing w:before="0" w:after="120" w:line="312" w:lineRule="auto"/>
      </w:pPr>
      <w:r>
        <w:rPr>
          <w:sz w:val="22"/>
        </w:rPr>
        <w:t>STATUS: CURRENT. Provenance: the Author's dictation and the audit's grade (the law, the architecture, the estimate); the Earth Products variant; the lubricant law and the superball test (TRU-BLU NEVERMELT BENTONITE to stores List Four); Amendment 3 — the frame correction: the whole wheel is the wear system, sitting 186 (11 August 2026). Every figure and law in this chapter is seated from the master record, v2.1.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 Chapter version: v1.0, 19 August 2026.</w:t>
      </w:r>
    </w:p>
    <w:p>
      <w:pPr>
        <w:spacing w:before="0" w:after="120" w:line="312" w:lineRule="auto"/>
      </w:pPr>
      <w:r>
        <w:rPr>
          <w:sz w:val="22"/>
        </w:rPr>
        <w:t xml:space="preserve">END OF CHAPTER 02.</w:t>
      </w:r>
    </w:p>
    <w:sectPr>
      <w:footerReference w:type="default" r:id="Ra75e29fa899a494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?>
<Relationships xmlns="http://schemas.openxmlformats.org/package/2006/relationships"><Relationship Id="R57c54fcfb0ea4d20" Type="http://schemas.openxmlformats.org/officeDocument/2006/relationships/image" Target="../media/image.png" /><Relationship Id="Ra75e29fa899a4945" Type="http://schemas.openxmlformats.org/officeDocument/2006/relationships/footer" Target="footer1.xml" /><Relationship Id="Re00526aec7e84242" Type="http://schemas.openxmlformats.org/officeDocument/2006/relationships/styles" Target="styles.xml" /></Relationships>
</file>