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19a3dfa40d641f3"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64.png"/>
                    <pic:cNvPicPr/>
                  </pic:nvPicPr>
                  <pic:blipFill>
                    <a:blip r:embed="R9957af7cdb4f4720"/>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pPr>
      <w:r>
        <w:rPr>
          <w:b/>
          <w:sz w:val="24"/>
          <w:rFonts w:ascii="Calibri" w:hAnsi="Calibri" w:eastAsia="Calibri" w:cs="Calibri"/>
          <w:color w:val="1A1A1A"/>
          <w:szCs w:val="24"/>
        </w:rPr>
        <w:t>THE GEMINI PROTOCOLS — CHAPTER 264</w:t>
      </w:r>
    </w:p>
    <w:p>
      <w:pPr>
        <w:pStyle w:val="Normal"/>
      </w:pPr>
      <w:r>
        <w:rPr>
          <w:b/>
          <w:sz w:val="22"/>
          <w:rFonts w:ascii="Calibri" w:hAnsi="Calibri" w:eastAsia="Calibri" w:cs="Calibri"/>
          <w:color w:val="1A1A1A"/>
          <w:szCs w:val="22"/>
        </w:rPr>
        <w:t>PHASE 264: THE QUINN CYLINDER DRIVES – ORBITAL ENGINE VARIANT — MOON HAS FULL POWER — THE SUBURB-SCALE CYLINDER GENERATOR STATION (ENDED UP AS THE PRIMARY POWER FOR THE MAIN HYDROGEN ENGINES ON THE SHIP) — STATUS: CURRENT — THE STATION MACHINE OF RECORD IS THE CHAPTER 269 5-1 FLYWHEEL BANK; BUILD STATIONS TO GP-IM-269. This chapter carries the cylinder-drive doctrine, the machine family, and the pricing of record.</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GP-IM-264, v1.3 — 3 September 2026. </w:t>
      </w:r>
    </w:p>
    <w:p>
      <w:pPr>
        <w:pStyle w:val="Normal"/>
      </w:pPr>
      <w:r>
        <w:rPr>
          <w:rFonts w:ascii="Calibri" w:hAnsi="Calibri" w:eastAsia="Calibri" w:cs="Calibri"/>
          <w:sz w:val="24"/>
          <w:color w:val="1A1A1A"/>
          <w:b/>
          <w:szCs w:val="24"/>
        </w:rPr>
        <w:t xml:space="preserve">LUNAR CARRIAGE LAW — </w:t>
      </w:r>
      <w:r>
        <w:rPr>
          <w:rFonts w:ascii="Calibri" w:hAnsi="Calibri" w:eastAsia="Calibri" w:cs="Calibri"/>
          <w:sz w:val="22"/>
          <w:color w:val="1A1A1A"/>
          <w:szCs w:val="22"/>
        </w:rPr>
        <w:t>All lunar products designed to be taken in an 80's space shuttle</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b/>
          <w:sz w:val="24"/>
          <w:rFonts w:ascii="Calibri" w:hAnsi="Calibri" w:eastAsia="Calibri" w:cs="Calibri"/>
          <w:color w:val="1A1A1A"/>
          <w:szCs w:val="24"/>
        </w:rPr>
        <w:t>§1 — THE MACHINE FAMILY (CURRENT DOCTRINE)</w:t>
      </w:r>
    </w:p>
    <w:p>
      <w:pPr>
        <w:pStyle w:val="Normal"/>
      </w:pPr>
      <w:r>
        <w:rPr>
          <w:sz w:val="22"/>
          <w:rFonts w:ascii="Calibri" w:hAnsi="Calibri" w:eastAsia="Calibri" w:cs="Calibri"/>
          <w:color w:val="1A1A1A"/>
          <w:szCs w:val="22"/>
        </w:rPr>
        <w:t>One body, three machines: motor, generator, flywheel — the spin is the battery. The shell is the rotor.</w:t>
      </w:r>
    </w:p>
    <w:p>
      <w:pPr>
        <w:pStyle w:val="Normal"/>
      </w:pPr>
      <w:r>
        <w:rPr>
          <w:sz w:val="22"/>
          <w:rFonts w:ascii="Calibri" w:hAnsi="Calibri" w:eastAsia="Calibri" w:cs="Calibri"/>
          <w:color w:val="1A1A1A"/>
          <w:szCs w:val="22"/>
        </w:rPr>
        <w:t>THE TOPOLOGY LAW: the cylinder's whole length is rim — LENGTH is the knob. The poles face outward across the cylinder, giving the surrounding coil shell flux change.</w:t>
      </w:r>
    </w:p>
    <w:p>
      <w:pPr>
        <w:pStyle w:val="Normal"/>
      </w:pPr>
      <w:r>
        <w:rPr>
          <w:sz w:val="22"/>
          <w:rFonts w:ascii="Calibri" w:hAnsi="Calibri" w:eastAsia="Calibri" w:cs="Calibri"/>
          <w:color w:val="1A1A1A"/>
          <w:szCs w:val="22"/>
        </w:rPr>
        <w:t>THE MAGNET LAW: every magnet in the machine is a WOUND ELECTROMAGNET — the 12 perpendicular EMs facing the outer coil shell, the maglev bearing fields, the drive/extraction fields — all copper and steel, excited through the ends by the solar feed line. No neo magnets anywhere, ever — 'we simply cannot get nor handle neo magnets that big': no procurement path exists at this scale, no handling procedure survives this scale, and the design never required them.</w:t>
      </w:r>
    </w:p>
    <w:p>
      <w:pPr>
        <w:pStyle w:val="Normal"/>
      </w:pPr>
      <w:r>
        <w:rPr>
          <w:sz w:val="22"/>
          <w:rFonts w:ascii="Calibri" w:hAnsi="Calibri" w:eastAsia="Calibri" w:cs="Calibri"/>
          <w:color w:val="1A1A1A"/>
          <w:szCs w:val="22"/>
        </w:rPr>
        <w:t>THE RATINGS: ship — no gravity sag on the float gap, full rating including the laser arrays; Moon — 33% (the 1/6-g bearing derate, accepted and priced).</w:t>
      </w:r>
    </w:p>
    <w:p>
      <w:pPr>
        <w:pStyle w:val="Normal"/>
      </w:pPr>
      <w:r>
        <w:rPr>
          <w:sz w:val="22"/>
          <w:rFonts w:ascii="Calibri" w:hAnsi="Calibri" w:eastAsia="Calibri" w:cs="Calibri"/>
          <w:color w:val="1A1A1A"/>
          <w:szCs w:val="22"/>
        </w:rPr>
        <w:t>THE START DOCTRINE — zero-consumable starts. Ship: the tug fires up, line taut, clutch drops — one clean impulse while the front axle balancer holds the float centre; balancer and tether recover. Moon: MACHINE START — motor-mode from the power bank through the machine's own coils, bank-fed by the Galileo parabolic mirror field (concentrator-PV — solar, not heat); fixed ends same as the ship — both ends captured in magnetic point bearings, nothing floats free, nothing wraps, nothing is walked back. The strap start, the berm and the tether rig are RETIRED from the Moon (3 September 2026, sitting 824). Still zero-consumable: no lost tethers, no used-up rockets — because there are none.</w:t>
      </w:r>
    </w:p>
    <w:p>
      <w:pPr>
        <w:pStyle w:val="Normal"/>
      </w:pPr>
      <w:r>
        <w:rPr>
          <w:sz w:val="22"/>
          <w:rFonts w:ascii="Calibri" w:hAnsi="Calibri" w:eastAsia="Calibri" w:cs="Calibri"/>
          <w:color w:val="1A1A1A"/>
          <w:szCs w:val="22"/>
        </w:rPr>
        <w:t>FLAT-PACK: no single giant machine rides a rocket — the pieces ride in the pods the file already flies, and the station bolts together on site.</w:t>
      </w:r>
    </w:p>
    <w:p>
      <w:pPr>
        <w:pStyle w:val="Normal"/>
      </w:pPr>
      <w:r>
        <w:rPr>
          <w:sz w:val="22"/>
          <w:rFonts w:ascii="Calibri" w:hAnsi="Calibri" w:eastAsia="Calibri" w:cs="Calibri"/>
          <w:color w:val="1A1A1A"/>
          <w:szCs w:val="22"/>
        </w:rPr>
        <w:t>THE MINI DOCTRINE (his words, current law): 'mini 500 kw units are fkn colony spread without cables' — the grid question answered by refusing the grid. A 500 kW unit covers a NASA-class ISRU base at partial duty; a failed mini darkens one node, never the colony; maintenance is swap-and-repair at the shop, not a trench crew in suits.</w:t>
      </w:r>
    </w:p>
    <w:p>
      <w:pPr>
        <w:pStyle w:val="Normal"/>
      </w:pPr>
      <w:r>
        <w:rPr>
          <w:b/>
          <w:sz w:val="24"/>
          <w:rFonts w:ascii="Calibri" w:hAnsi="Calibri" w:eastAsia="Calibri" w:cs="Calibri"/>
          <w:color w:val="1A1A1A"/>
          <w:szCs w:val="24"/>
        </w:rPr>
        <w:t>§2 — THE STATION MACHINE (BUILD TO GP-IM-269)</w:t>
      </w:r>
    </w:p>
    <w:p>
      <w:pPr>
        <w:pStyle w:val="Normal"/>
      </w:pPr>
      <w:r>
        <w:rPr>
          <w:sz w:val="22"/>
          <w:rFonts w:ascii="Calibri" w:hAnsi="Calibri" w:eastAsia="Calibri" w:cs="Calibri"/>
          <w:color w:val="1A1A1A"/>
          <w:szCs w:val="22"/>
        </w:rPr>
        <w:t>The 5-1 flywheel bank is the station machine of record: 9 m long, 2.5 m diameter (pod-height legal), 1 m centre gap with support bearing — two 4.5 m spans; 8 t of legal rim at the 1 t/m wall; the tri-dumbbell booster (6 x 100 kg ends at 4.5 m radius — out-stores the shell itself, 5.01 v 4.76 kWh at 500 rpm); the arm spec final — 200 kg arms x3, grown centre collar, cross-brace at half arm; the axle law — non-ferromagnetic, every machine, coils inside and magnets on the shell; triple stands, the centre stand killing bow flex. 8.6 t all-up.</w:t>
      </w:r>
    </w:p>
    <w:p>
      <w:pPr>
        <w:pStyle w:val="Normal"/>
      </w:pPr>
      <w:r>
        <w:rPr>
          <w:rFonts w:ascii="Calibri" w:hAnsi="Calibri" w:eastAsia="Calibri" w:cs="Calibri"/>
          <w:sz w:val="22"/>
          <w:color w:val="1A1A1A"/>
          <w:szCs w:val="22"/>
        </w:rPr>
        <w:t>[CORRECTED 10 September 2026 per the Full Specification vet: the 5.01 kWh headline is a stale sitting-133 figure — the as-printed booster stores 6.17 kWh against the shell's 4.76 at 500 rpm. Original kept per doctrine.]</w:t>
      </w:r>
    </w:p>
    <w:p>
      <w:pPr>
        <w:pStyle w:val="Normal"/>
      </w:pPr>
      <w:r>
        <w:rPr>
          <w:sz w:val="22"/>
          <w:rFonts w:ascii="Calibri" w:hAnsi="Calibri" w:eastAsia="Calibri" w:cs="Calibri"/>
          <w:color w:val="1A1A1A"/>
          <w:szCs w:val="22"/>
        </w:rPr>
        <w:t>THE DIALS (the accepted spec, physics-verified): comfortable 500 rpm = 4.76 kWh shell-only at 19% of legal stress; ceiling 1,146 rpm = 25.0 kWh shell-only (rim 150 m/s — the steel ceiling). With the tri-dumbbell booster at courtesy class: ~11 kWh at 500 rpm. The claim build (space-replaceable, common structural arms, end to end replaceable off-Earth): 268 rpm = 3.1 kWh. The steel ceiling governs all of it: 3.125 kWh per ton of rim, any steel shell, any size.</w:t>
      </w:r>
    </w:p>
    <w:p>
      <w:pPr>
        <w:pStyle w:val="Normal"/>
      </w:pPr>
      <w:r>
        <w:rPr>
          <w:sz w:val="22"/>
          <w:rFonts w:ascii="Calibri" w:hAnsi="Calibri" w:eastAsia="Calibri" w:cs="Calibri"/>
          <w:color w:val="1A1A1A"/>
          <w:szCs w:val="22"/>
        </w:rPr>
        <w:t>THE ACCEPTANCE SPEC: 100 kW continuous / 500 kW burst electromagnetic input per 9 m machine. Thermal honesty in vacuum: the shell's 62.8 m2 of skin radiates ~62 kW at 100 °C (emissivity 0.9) — the 100 kW continuous class holds with heat-pipe spread to the full skin; burst is seconds-class (500 kW = 4.76 kWh in 34 s). THE SIZING RULE (his law): mirrors and panels are added until the EM's limit, never past it — the field is never the constraint, the machine is.</w:t>
      </w:r>
    </w:p>
    <w:p>
      <w:pPr>
        <w:pStyle w:val="Normal"/>
      </w:pPr>
      <w:r>
        <w:rPr>
          <w:sz w:val="22"/>
          <w:rFonts w:ascii="Calibri" w:hAnsi="Calibri" w:eastAsia="Calibri" w:cs="Calibri"/>
          <w:color w:val="1A1A1A"/>
          <w:szCs w:val="22"/>
        </w:rPr>
        <w:t>THE FEED: the mirror field is the fuel line — the cylinder is the converter, the mirrors are the wind. At 50-100 suns each end receives 2-4 MW of optical power; at an honest 25-30% conversion the machine delivers 1-1.5 MW.</w:t>
      </w:r>
    </w:p>
    <w:p>
      <w:pPr>
        <w:pStyle w:val="Normal"/>
      </w:pPr>
      <w:r>
        <w:rPr>
          <w:sz w:val="22"/>
          <w:rFonts w:ascii="Calibri" w:hAnsi="Calibri" w:eastAsia="Calibri" w:cs="Calibri"/>
          <w:color w:val="1A1A1A"/>
          <w:szCs w:val="22"/>
        </w:rPr>
        <w:t>THE DARK RULING: no sun, no input. Solar-first dispatch ('i live on solar'); excitation at dark rides the first-drop bank; night COVER rides the vault — the 16-day law (Chapter 269): regulated discharge, 384 kWh per kW of night load, ship-class carbon rotors; the vehicles park warm on the same ledger.</w:t>
      </w:r>
    </w:p>
    <w:p>
      <w:pPr>
        <w:pStyle w:val="Normal"/>
      </w:pPr>
      <w:r>
        <w:rPr>
          <w:sz w:val="22"/>
          <w:rFonts w:ascii="Calibri" w:hAnsi="Calibri" w:eastAsia="Calibri" w:cs="Calibri"/>
          <w:color w:val="1A1A1A"/>
          <w:szCs w:val="22"/>
        </w:rPr>
        <w:t>THE FIRST BANK: 500 kW = 5 machines at the 100 kW refill rate + 1 spare = 6 machines — catalog tech, one team, months. The bootstrap manifest heads the Moon supply list: 400 kW-class sodium-ion bank (173's chemistry), 400 kW-class solar MATCHED to the bank (the matched-pair law, sitting 825 — the salt bank and the panels are one number, sized to the spin-up feed), multiple inverters, cabling, 2x30 kW welders.</w:t>
      </w:r>
    </w:p>
    <w:p>
      <w:pPr>
        <w:pStyle w:val="Normal"/>
      </w:pPr>
      <w:r>
        <w:rPr>
          <w:b/>
          <w:sz w:val="24"/>
          <w:rFonts w:ascii="Calibri" w:hAnsi="Calibri" w:eastAsia="Calibri" w:cs="Calibri"/>
          <w:color w:val="1A1A1A"/>
          <w:szCs w:val="24"/>
        </w:rPr>
        <w:t>§3 — THE NUMBERS (PUBLIC ANCHORS, AUGUST 2026)</w:t>
      </w:r>
    </w:p>
    <w:p>
      <w:pPr>
        <w:pStyle w:val="Normal"/>
      </w:pPr>
      <w:r>
        <w:rPr>
          <w:sz w:val="22"/>
          <w:rFonts w:ascii="Calibri" w:hAnsi="Calibri" w:eastAsia="Calibri" w:cs="Calibri"/>
          <w:color w:val="1A1A1A"/>
          <w:szCs w:val="22"/>
        </w:rPr>
        <w:t>- The Earth anchor: the biggest wind turbines on Earth, 2026 — a 26 MW prototype (Dongfang, September 2025), a 20 MW prototype (CTG, January 2026), 15 MW in commercial service (Vestas).</w:t>
      </w:r>
    </w:p>
    <w:p>
      <w:pPr>
        <w:pStyle w:val="Normal"/>
      </w:pPr>
      <w:r>
        <w:rPr>
          <w:sz w:val="22"/>
          <w:rFonts w:ascii="Calibri" w:hAnsi="Calibri" w:eastAsia="Calibri" w:cs="Calibri"/>
          <w:color w:val="1A1A1A"/>
          <w:szCs w:val="22"/>
        </w:rPr>
        <w:t>- The honest converter math: a machine's open end is about 28 m2 of intake; raw lunar sunlight delivers 1.36 kW/m2 — about 38 kW per end. Raw-fed, one machine is a 100 kW-class unit.</w:t>
      </w:r>
    </w:p>
    <w:p>
      <w:pPr>
        <w:pStyle w:val="Normal"/>
      </w:pPr>
      <w:r>
        <w:rPr>
          <w:sz w:val="22"/>
          <w:rFonts w:ascii="Calibri" w:hAnsi="Calibri" w:eastAsia="Calibri" w:cs="Calibri"/>
          <w:color w:val="1A1A1A"/>
          <w:szCs w:val="22"/>
        </w:rPr>
        <w:t>- The ladder (NASA Civil Space Shortfall 1596 as the yardstick): initial needs 1-5 kW; early demonstrations 10-20 kW; advanced 80-100 kW; an ISRU-capable base 0.5-1 MW; the 'full lunar economy' 100s of MW to 1 GW. ONE machine covers a NASA-class ISRU base; ONE bank (15 MW) is a suburb — homes, foundry, farms, vehicles, with margin; ~67 banks — roughly 670 pod-shipped machines — equal the full-lunar-economy number. Hundreds of toy-set machines, not one impossible reactor.</w:t>
      </w:r>
    </w:p>
    <w:p>
      <w:pPr>
        <w:pStyle w:val="Normal"/>
      </w:pPr>
      <w:r>
        <w:rPr>
          <w:sz w:val="22"/>
          <w:rFonts w:ascii="Calibri" w:hAnsi="Calibri" w:eastAsia="Calibri" w:cs="Calibri"/>
          <w:color w:val="1A1A1A"/>
          <w:szCs w:val="22"/>
        </w:rPr>
        <w:t>- The pricing of record, per machine (benchmarks named with sources and dates): steel rim 8,000 kg machined at $4/kg fabricated (2026 service-center benchmarks) = $32,000; tri-dumbbell ends 600 kg = $2,400; copper coils ~800 kg (100 kg per active metre — assumption named) at $14.6/kg = $11,680; field-winding copper ~200 kg at $14.6/kg = $2,920 plus field-excitation control boards; bearings x3 (centre + two ends, heavy class) ~$15,000; EM drive, sensors, controller ~$20,000; assembly, balance, test labor ~$30,000. EX-WORKS: ~$120k class per machine at ±40% crayon discipline. Per kWh stored: ~$24k on the comfortable dial, ~$4.6k at the ceiling.</w:t>
      </w:r>
    </w:p>
    <w:p>
      <w:pPr>
        <w:pStyle w:val="Normal"/>
      </w:pPr>
      <w:r>
        <w:rPr>
          <w:sz w:val="22"/>
          <w:rFonts w:ascii="Calibri" w:hAnsi="Calibri" w:eastAsia="Calibri" w:cs="Calibri"/>
          <w:color w:val="1A1A1A"/>
          <w:szCs w:val="22"/>
        </w:rPr>
        <w:t>- The delivery ladder (the part that prices the sky; seated physics: 1.77 t into lunar orbit per surface tonne; 3.6-5.1 t in LEO per tonne landed): RUNG 1 — CLPS-class commercial service: billions per machine — retired on arrival, named only so no one walks it again. RUNG 2 — commodity LEO rideshare plus own transfer: $11-15M per landed tonne — $93-132M per machine; the first bank (6 machines, 51.6 t landed) $557-789M delivered — honest, and it kills commodity delivery. RUNG 3 — THE FLEET'S OWN RUNWAY (Phase 29 EM launch, parametric at $50/kg to LEO, aspirational label): $180-255 per landed kg — the first bank delivered for ~$9-13M. The runway is not a line item; it is the difference between a program and a fantasy. RUNG 4 — IN-SITU: lunar iron deletes the steel (95% of the mass); imported mass collapses to bearings, copper, and boards (~1.2 t per machine); at that rung the 15 MWh target stops being a transport problem and becomes a factory schedule.</w:t>
      </w:r>
    </w:p>
    <w:p>
      <w:pPr>
        <w:pStyle w:val="Normal"/>
      </w:pPr>
      <w:r>
        <w:rPr>
          <w:sz w:val="22"/>
          <w:rFonts w:ascii="Calibri" w:hAnsi="Calibri" w:eastAsia="Calibri" w:cs="Calibri"/>
          <w:color w:val="1A1A1A"/>
          <w:szCs w:val="22"/>
        </w:rPr>
        <w:t>- The 15 MW target, priced three ways (right and slow): AS POWER — 15 MW sustained wants 150 machines at the 100 kW refill rate: ex-works ~$21M, 1,290 t landed. AS ENERGY, COMFORTABLE DIAL — 15 MWh at 4.76 kWh: 3,151 machines, ex-works ~$445M, 27,100 t landed. AS ENERGY, CEILING DIAL — 15 MWh at 25 kWh: 600 machines, ex-works ~$85M, 5,160 t landed. THE LEVER THE SHEET TEACHES: the ceiling dial buys the same 15 MWh for 5.3x less landed mass than the comfortable dial — dial discipline IS the pricing lever, and it costs only engineering (stress qualification, balance, bearing class), not tonnes.</w:t>
      </w:r>
    </w:p>
    <w:p>
      <w:pPr>
        <w:pStyle w:val="Normal"/>
      </w:pPr>
      <w:r>
        <w:rPr>
          <w:sz w:val="22"/>
          <w:rFonts w:ascii="Calibri" w:hAnsi="Calibri" w:eastAsia="Calibri" w:cs="Calibri"/>
          <w:color w:val="1A1A1A"/>
          <w:szCs w:val="22"/>
        </w:rPr>
        <w:t>- The small numbers — the first bank: 500 kW sustained = 6 machines: ex-works ~$0.85M, foam-and-bubble ~$0.1M, 51.6 t on the surface, 186-263 t in LEO — affordable under every rung except Rung 1. THE VERDICT, in his own doctrine: right and slow — build the 6, qualify the ceiling dial on the Moon's own floor (19% stress at comfortable is the qualification margin), let lunar steel eat the machine cost, and the 15 MW arrives on schedule instead of on a press release.</w:t>
      </w:r>
    </w:p>
    <w:p>
      <w:pPr>
        <w:pStyle w:val="Normal"/>
      </w:pPr>
      <w:r>
        <w:rPr>
          <w:b/>
          <w:sz w:val="24"/>
          <w:rFonts w:ascii="Calibri" w:hAnsi="Calibri" w:eastAsia="Calibri" w:cs="Calibri"/>
          <w:color w:val="1A1A1A"/>
          <w:szCs w:val="24"/>
        </w:rPr>
        <w:t>§4 — THE PHYSICS (GRADED)</w:t>
      </w:r>
    </w:p>
    <w:p>
      <w:pPr>
        <w:pStyle w:val="Normal"/>
      </w:pPr>
      <w:r>
        <w:rPr>
          <w:sz w:val="22"/>
          <w:rFonts w:ascii="Calibri" w:hAnsi="Calibri" w:eastAsia="Calibri" w:cs="Calibri"/>
          <w:color w:val="1A1A1A"/>
          <w:szCs w:val="22"/>
        </w:rPr>
        <w:t>- Why Earth never saw it (his line, affirmed): magnetic bearings and vacuum flywheels exist on Earth, but gravity loads the float gap, air drags the rotor, and Earth already wires its suburbs.</w:t>
      </w:r>
    </w:p>
    <w:p>
      <w:pPr>
        <w:pStyle w:val="Normal"/>
      </w:pPr>
      <w:r>
        <w:rPr>
          <w:sz w:val="22"/>
          <w:rFonts w:ascii="Calibri" w:hAnsi="Calibri" w:eastAsia="Calibri" w:cs="Calibri"/>
          <w:color w:val="1A1A1A"/>
          <w:szCs w:val="22"/>
        </w:rPr>
        <w:t>- 'We missed because neos have a max size' — affirmed. At torch scale the permanent-magnet market caps the field; the wound-electromagnet shell removes the cap: field strength becomes a winding decision.</w:t>
      </w:r>
    </w:p>
    <w:p>
      <w:pPr>
        <w:pStyle w:val="Normal"/>
      </w:pPr>
      <w:r>
        <w:rPr>
          <w:sz w:val="22"/>
          <w:rFonts w:ascii="Calibri" w:hAnsi="Calibri" w:eastAsia="Calibri" w:cs="Calibri"/>
          <w:color w:val="1A1A1A"/>
          <w:szCs w:val="22"/>
        </w:rPr>
        <w:t>- The gyroscope ledger: every spinning shell is a momentum wheel; a ship carrying several carries their sum. Doctrine: counter-rotating pairs, or log them as station-keeping assets.</w:t>
      </w:r>
    </w:p>
    <w:p>
      <w:pPr>
        <w:pStyle w:val="Normal"/>
      </w:pPr>
      <w:r>
        <w:rPr>
          <w:sz w:val="22"/>
          <w:rFonts w:ascii="Calibri" w:hAnsi="Calibri" w:eastAsia="Calibri" w:cs="Calibri"/>
          <w:color w:val="1A1A1A"/>
          <w:szCs w:val="22"/>
        </w:rPr>
        <w:t>- The parasitic field budget: electromagnets eat continuous power. One line of arithmetic owed at build — field draw versus mirror intake versus output — printed on the housing.</w:t>
      </w:r>
    </w:p>
    <w:p>
      <w:pPr>
        <w:pStyle w:val="Normal"/>
      </w:pPr>
      <w:r>
        <w:rPr>
          <w:sz w:val="22"/>
          <w:rFonts w:ascii="Calibri" w:hAnsi="Calibri" w:eastAsia="Calibri" w:cs="Calibri"/>
          <w:color w:val="1A1A1A"/>
          <w:szCs w:val="22"/>
        </w:rPr>
        <w:t>- Containment: a tonne at speed is a burst radius if a float bearing fails. The bay gets a burst ring — the Phase 260 shield bricks are the right material family.</w:t>
      </w:r>
    </w:p>
    <w:p>
      <w:pPr>
        <w:pStyle w:val="Normal"/>
      </w:pPr>
      <w:r>
        <w:rPr>
          <w:sz w:val="22"/>
          <w:rFonts w:ascii="Calibri" w:hAnsi="Calibri" w:eastAsia="Calibri" w:cs="Calibri"/>
          <w:color w:val="1A1A1A"/>
          <w:szCs w:val="22"/>
        </w:rPr>
        <w:t>- Eddy housekeeping: a swinging field near metal structure induces drag currents; the bay's inner shell follows the axle rule — non-metallic where the field swings.</w:t>
      </w:r>
    </w:p>
    <w:p>
      <w:pPr>
        <w:pStyle w:val="Normal"/>
      </w:pPr>
      <w:r>
        <w:rPr>
          <w:b/>
          <w:sz w:val="24"/>
          <w:rFonts w:ascii="Calibri" w:hAnsi="Calibri" w:eastAsia="Calibri" w:cs="Calibri"/>
          <w:color w:val="1A1A1A"/>
          <w:szCs w:val="24"/>
        </w:rPr>
        <w:t>§5 — REJECTED OPTIONS AND DEAD ENDS (DO NOT BUILD)</w:t>
      </w:r>
    </w:p>
    <w:p>
      <w:pPr>
        <w:pStyle w:val="Normal"/>
      </w:pPr>
      <w:r>
        <w:rPr>
          <w:sz w:val="22"/>
          <w:rFonts w:ascii="Calibri" w:hAnsi="Calibri" w:eastAsia="Calibri" w:cs="Calibri"/>
          <w:color w:val="1A1A1A"/>
          <w:szCs w:val="22"/>
        </w:rPr>
        <w:t>- Do NOT spec neo magnets anywhere in the machine — wound electromagnets, solar-fed through the ends; no exceptions.</w:t>
      </w:r>
    </w:p>
    <w:p>
      <w:pPr>
        <w:pStyle w:val="Normal"/>
      </w:pPr>
      <w:r>
        <w:rPr>
          <w:sz w:val="22"/>
          <w:rFonts w:ascii="Calibri" w:hAnsi="Calibri" w:eastAsia="Calibri" w:cs="Calibri"/>
          <w:color w:val="1A1A1A"/>
          <w:szCs w:val="22"/>
        </w:rPr>
        <w:t>- Do NOT cable the colony — the minis are the distribution: 500 kW nodes, spread without cables.</w:t>
      </w:r>
    </w:p>
    <w:p>
      <w:pPr>
        <w:pStyle w:val="Normal"/>
      </w:pPr>
      <w:r>
        <w:rPr>
          <w:sz w:val="22"/>
          <w:rFonts w:ascii="Calibri" w:hAnsi="Calibri" w:eastAsia="Calibri" w:cs="Calibri"/>
          <w:color w:val="1A1A1A"/>
          <w:szCs w:val="22"/>
        </w:rPr>
        <w:t>- Do NOT schedule against the sun — solar-first dispatch; no sun, no input; the night bridge rides the vault (the 16-day law, Chapter 269).</w:t>
      </w:r>
    </w:p>
    <w:p>
      <w:pPr>
        <w:pStyle w:val="Normal"/>
      </w:pPr>
      <w:r>
        <w:rPr>
          <w:sz w:val="22"/>
          <w:rFonts w:ascii="Calibri" w:hAnsi="Calibri" w:eastAsia="Calibri" w:cs="Calibri"/>
          <w:color w:val="1A1A1A"/>
          <w:szCs w:val="22"/>
        </w:rPr>
        <w:t>- The fission answer, priced and declined: NASA's 40 kW unit — about 10,000 kg (250-270 kg per kW), a 1 km crew exclusion zone, a ten-year fuel. The bank family beats it on mass-per-kW at colony scale.</w:t>
      </w:r>
    </w:p>
    <w:p>
      <w:pPr>
        <w:pStyle w:val="Normal"/>
      </w:pPr>
      <w:r>
        <w:rPr>
          <w:sz w:val="22"/>
          <w:rFonts w:ascii="Calibri" w:hAnsi="Calibri" w:eastAsia="Calibri" w:cs="Calibri"/>
          <w:color w:val="1A1A1A"/>
          <w:szCs w:val="22"/>
        </w:rPr>
        <w:t>- SPARC: venue-killed — the tail test, the timeline test, the mass test; his verdict seated verbatim: 'spark is a dud'.</w:t>
      </w:r>
    </w:p>
    <w:p>
      <w:pPr>
        <w:pStyle w:val="Normal"/>
      </w:pPr>
      <w:r>
        <w:rPr>
          <w:sz w:val="22"/>
          <w:rFonts w:ascii="Calibri" w:hAnsi="Calibri" w:eastAsia="Calibri" w:cs="Calibri"/>
          <w:color w:val="1A1A1A"/>
          <w:szCs w:val="22"/>
        </w:rPr>
        <w:t>- The carbon programs: the Betamax verdict — if graphene manufacturing wants carbon, atmospheric carbon stops being a cleanup cost and starts being feedstock. Caltech SSPP: 'its cute but its a no from me.'</w:t>
      </w:r>
    </w:p>
    <w:p>
      <w:pPr>
        <w:pStyle w:val="Normal"/>
      </w:pPr>
      <w:r>
        <w:rPr>
          <w:sz w:val="22"/>
          <w:rFonts w:ascii="Calibri" w:hAnsi="Calibri" w:eastAsia="Calibri" w:cs="Calibri"/>
          <w:color w:val="1A1A1A"/>
          <w:szCs w:val="22"/>
        </w:rPr>
        <w:t>- The night double-claim: the night side of 1596 belongs to 210's scalp; this chapter claims generation. The scoreboard reads both, separately.</w:t>
      </w:r>
    </w:p>
    <w:p>
      <w:pPr>
        <w:pStyle w:val="Normal"/>
      </w:pPr>
      <w:r>
        <w:rPr>
          <w:b/>
          <w:sz w:val="24"/>
          <w:rFonts w:ascii="Calibri" w:hAnsi="Calibri" w:eastAsia="Calibri" w:cs="Calibri"/>
          <w:color w:val="1A1A1A"/>
          <w:szCs w:val="24"/>
        </w:rPr>
        <w:t>§6 — BENCH ITEMS</w:t>
      </w:r>
    </w:p>
    <w:p>
      <w:pPr>
        <w:pStyle w:val="Normal"/>
      </w:pPr>
      <w:r>
        <w:rPr>
          <w:sz w:val="22"/>
          <w:rFonts w:ascii="Calibri" w:hAnsi="Calibri" w:eastAsia="Calibri" w:cs="Calibri"/>
          <w:color w:val="1A1A1A"/>
          <w:szCs w:val="22"/>
        </w:rPr>
        <w:t>- Mirror field sizing per machine: suns-on-intake versus rated output, measured once, printed on the machine.</w:t>
      </w:r>
    </w:p>
    <w:p>
      <w:pPr>
        <w:pStyle w:val="Normal"/>
      </w:pPr>
      <w:r>
        <w:rPr>
          <w:sz w:val="22"/>
          <w:rFonts w:ascii="Calibri" w:hAnsi="Calibri" w:eastAsia="Calibri" w:cs="Calibri"/>
          <w:color w:val="1A1A1A"/>
          <w:szCs w:val="22"/>
        </w:rPr>
        <w:t>- Conversion efficiency test: optical in versus electrical out, full-day cycle, first unit — the number every later unit is sold on.</w:t>
      </w:r>
    </w:p>
    <w:p>
      <w:pPr>
        <w:pStyle w:val="Normal"/>
      </w:pPr>
      <w:r>
        <w:rPr>
          <w:sz w:val="22"/>
          <w:rFonts w:ascii="Calibri" w:hAnsi="Calibri" w:eastAsia="Calibri" w:cs="Calibri"/>
          <w:color w:val="1A1A1A"/>
          <w:szCs w:val="22"/>
        </w:rPr>
        <w:t>- Float-bearing gap control under 1/6-g sag (Moon rating) and under thrust (ship rating).</w:t>
      </w:r>
    </w:p>
    <w:p>
      <w:pPr>
        <w:pStyle w:val="Normal"/>
      </w:pPr>
      <w:r>
        <w:rPr>
          <w:sz w:val="22"/>
          <w:rFonts w:ascii="Calibri" w:hAnsi="Calibri" w:eastAsia="Calibri" w:cs="Calibri"/>
          <w:color w:val="1A1A1A"/>
          <w:szCs w:val="22"/>
        </w:rPr>
        <w:t>- Clutch-drop impulse curve: tug pull profile versus balancer hold force; the release sequence timed and filmed.</w:t>
      </w:r>
    </w:p>
    <w:p>
      <w:pPr>
        <w:pStyle w:val="Normal"/>
      </w:pPr>
      <w:r>
        <w:rPr>
          <w:sz w:val="22"/>
          <w:rFonts w:ascii="Calibri" w:hAnsi="Calibri" w:eastAsia="Calibri" w:cs="Calibri"/>
          <w:color w:val="1A1A1A"/>
          <w:szCs w:val="22"/>
        </w:rPr>
        <w:t>- The spin-up: bank-fed motor-mode at the acceptance feed — a steel day machine takes the 500 rpm dial in about 80 seconds at the 500 kW burst; a vault rotor takes the same feed for about half an hour. No berm, no range log, no recovery walk.</w:t>
      </w:r>
    </w:p>
    <w:p>
      <w:pPr>
        <w:pStyle w:val="Normal"/>
      </w:pPr>
      <w:r>
        <w:rPr>
          <w:sz w:val="22"/>
          <w:rFonts w:ascii="Calibri" w:hAnsi="Calibri" w:eastAsia="Calibri" w:cs="Calibri"/>
          <w:color w:val="1A1A1A"/>
          <w:szCs w:val="22"/>
        </w:rPr>
        <w:t>- Output conditioning: coil shell to settlement bus — voltage, conversion, and the Phase 261 shelter batteries as the distribution buffers.</w:t>
      </w:r>
    </w:p>
    <w:p>
      <w:pPr>
        <w:pStyle w:val="Normal"/>
      </w:pPr>
      <w:r>
        <w:rPr>
          <w:sz w:val="22"/>
          <w:rFonts w:ascii="Calibri" w:hAnsi="Calibri" w:eastAsia="Calibri" w:cs="Calibri"/>
          <w:color w:val="1A1A1A"/>
          <w:szCs w:val="22"/>
        </w:rPr>
        <w:t>- The suburb table: settlement size versus banks required, starting at one bank = one suburb; updated as real loads arrive.</w:t>
      </w:r>
    </w:p>
    <w:p>
      <w:pPr>
        <w:pStyle w:val="Normal"/>
      </w:pPr>
      <w:r>
        <w:rPr>
          <w:sz w:val="22"/>
          <w:rFonts w:ascii="Calibri" w:hAnsi="Calibri" w:eastAsia="Calibri" w:cs="Calibri"/>
          <w:color w:val="1A1A1A"/>
          <w:szCs w:val="22"/>
        </w:rPr>
        <w:t>- The strap bench: wrap count and tension versus spin-up rate at full barrel mass; strap release behavior at the last wrap — clean departure, no whip-back.</w:t>
      </w:r>
    </w:p>
    <w:p>
      <w:pPr>
        <w:pStyle w:val="Normal"/>
      </w:pPr>
      <w:r>
        <w:rPr>
          <w:b/>
          <w:sz w:val="24"/>
          <w:rFonts w:ascii="Calibri" w:hAnsi="Calibri" w:eastAsia="Calibri" w:cs="Calibri"/>
          <w:color w:val="1A1A1A"/>
          <w:szCs w:val="24"/>
        </w:rPr>
        <w:t>§7 — OWED</w:t>
      </w:r>
    </w:p>
    <w:p>
      <w:pPr>
        <w:pStyle w:val="Normal"/>
      </w:pPr>
      <w:r>
        <w:rPr>
          <w:sz w:val="22"/>
          <w:rFonts w:ascii="Calibri" w:hAnsi="Calibri" w:eastAsia="Calibri" w:cs="Calibri"/>
          <w:color w:val="1A1A1A"/>
          <w:szCs w:val="22"/>
        </w:rPr>
        <w:t>OWED: the field-draw line — field draw versus mirror intake versus output, one line of arithmetic at build, printed on the housing. The production pricing print per first-bank units as measured numbers arrive.</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GP-IM-264, v1.3 — 3 SEPTEMBER 2026 — CURRENT. The station machine of record is the Chapter 269 5-1 flywheel bank — build stations to GP-IM-269; this chapter carries the cylinder-drive doctrine, the machine family, and the pricing of record. Cleaned to current doctrine under the clean-chapter law (sitting 712): no retired designs, no patch-scars — the audit trail, every amendment and every kill, lives in the master and the restart. THE MASTER WINS.</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pPr>
      <w:r>
        <w:rPr>
          <w:sz w:val="22"/>
          <w:rFonts w:ascii="Calibri" w:hAnsi="Calibri" w:eastAsia="Calibri" w:cs="Calibri"/>
          <w:color w:val="1A1A1A"/>
          <w:szCs w:val="22"/>
        </w:rPr>
        <w:t>END OF CHAPTER 264</w:t>
      </w:r>
    </w:p>
    <w:sectPr>
      <w:footerReference w:type="default" r:id="R1c68d46134fc48c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c68d46134fc48ce" Type="http://schemas.openxmlformats.org/officeDocument/2006/relationships/footer" Target="footer1.xml"/><Relationship Id="R9957af7cdb4f4720" Type="http://schemas.openxmlformats.org/officeDocument/2006/relationships/image" Target="../media/image.png"/><Relationship Id="Re7694c304a674cbc" Type="http://schemas.openxmlformats.org/officeDocument/2006/relationships/styles" Target="styles.xml"/></Relationships>
</file>