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Types>
</file>

<file path=_rels/.rels><?xml version='1.0' encoding='UTF-8' standalone='yes'?>
<Relationships xmlns="http://schemas.openxmlformats.org/package/2006/relationships"><Relationship Id="R7d214543738e400a"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0" w:line="240" w:lineRule="auto"/>
        <w:jc w:val="center"/>
      </w:pPr>
      <w:r>
        <w:drawing>
          <wp:inline distT="0" distB="0" distL="0" distR="0">
            <wp:extent cx="5943600" cy="7955279"/>
            <wp:effectExtent l="0" t="0" r="0" b="0"/>
            <wp:docPr id="1" name="Cover"/>
            <wp:cNvGraphicFramePr>
              <a:graphicFrameLocks noChangeAspect="1"/>
            </wp:cNvGraphicFramePr>
            <a:graphic>
              <a:graphicData uri="http://schemas.openxmlformats.org/drawingml/2006/picture">
                <pic:pic>
                  <pic:nvPicPr>
                    <pic:cNvPr id="0" name="cover_p301.png"/>
                    <pic:cNvPicPr/>
                  </pic:nvPicPr>
                  <pic:blipFill>
                    <a:blip r:embed="R7b5a4a141e144eff"/>
                    <a:stretch>
                      <a:fillRect/>
                    </a:stretch>
                  </pic:blipFill>
                  <pic:spPr>
                    <a:xfrm>
                      <a:off x="0" y="0"/>
                      <a:ext cx="5943600" cy="7955279"/>
                    </a:xfrm>
                    <a:prstGeom prst="rect">
                      <a:avLst/>
                    </a:prstGeom>
                  </pic:spPr>
                </pic:pic>
              </a:graphicData>
            </a:graphic>
          </wp:inline>
        </w:drawing>
      </w:r>
    </w:p>
    <w:p>
      <w:pPr>
        <w:sectPr>
          <w:type w:val="nextPage"/>
          <w:pgSz w:w="12240" w:h="15840"/>
          <w:pgMar w:top="0" w:right="0" w:bottom="0" w:left="0" w:header="0" w:footer="0" w:gutter="0"/>
        </w:sectPr>
      </w:pPr>
    </w:p>
    <w:p>
      <w:pPr>
        <w:spacing w:before="240" w:after="240" w:line="288" w:lineRule="auto"/>
        <w:jc w:val="center"/>
      </w:pPr>
      <w:r>
        <w:rPr>
          <w:rFonts w:ascii="Calibri" w:hAnsi="Calibri"/>
          <w:b/>
          <w:color w:val="D9A82E"/>
          <w:sz w:val="36"/>
          <w:szCs w:val="36"/>
        </w:rPr>
        <w:t xml:space="preserve">THE GEMINI PROTOCOLS — CHAPTER 301</w:t>
      </w:r>
    </w:p>
    <w:p>
      <w:pPr>
        <w:spacing w:before="0" w:after="60" w:line="288" w:lineRule="auto"/>
        <w:jc w:val="center"/>
      </w:pPr>
      <w:r>
        <w:rPr>
          <w:rFonts w:ascii="Calibri" w:hAnsi="Calibri"/>
          <w:b/>
          <w:color w:val="1B1B1B"/>
          <w:sz w:val="44"/>
          <w:szCs w:val="44"/>
        </w:rPr>
        <w:t>PHASE 301: QUINN'S LIVING ENGINE HEAT SHIELD</w:t>
      </w:r>
    </w:p>
    <w:p>
      <w:pPr>
        <w:spacing w:before="0" w:after="240" w:line="288" w:lineRule="auto"/>
        <w:jc w:val="center"/>
      </w:pPr>
      <w:r>
        <w:rPr>
          <w:rFonts w:ascii="Calibri" w:hAnsi="Calibri"/>
          <w:i/>
          <w:color w:val="5A6570"/>
          <w:sz w:val="24"/>
          <w:szCs w:val="24"/>
        </w:rPr>
        <w:t xml:space="preserve">the shield that is serviced, not worshipped</w:t>
      </w:r>
    </w:p>
    <w:p>
      <w:pPr>
        <w:spacing w:before="0" w:after="140" w:line="300" w:lineRule="auto"/>
        <w:jc w:val="both"/>
      </w:pPr>
      <w:r>
        <w:rPr>
          <w:rFonts w:ascii="Calibri" w:hAnsi="Calibri"/>
          <w:sz w:val="22"/>
          <w:szCs w:val="22"/>
        </w:rPr>
        <w:t>The Starship Galileo carries no heat shield. The shield carries the ship. This phase seats the full design of Quinn's Living Engine Heat Shield as dictated by the Author across Sittings 676 through 699: the four failure modes that kill every glued shield ever flown, the twelve-layer stack that answers them, the triangle tiling law, the bolt-and-gasket service doctrine, the water core that bleeds steam rearward, and the numbers that price it all. The shield is a living engine — a gasket, an oil change, a radiator, and a forge — and every one of its layers is inspectable, replaceable, and honest.</w:t>
      </w:r>
    </w:p>
    <w:p>
      <w:pPr>
        <w:spacing w:before="0" w:after="140" w:line="300" w:lineRule="auto"/>
        <w:jc w:val="both"/>
      </w:pPr>
      <w:r>
        <w:rPr>
          <w:rFonts w:ascii="Calibri" w:hAnsi="Calibri"/>
          <w:b/>
          <w:color w:val="3A3A3A"/>
          <w:sz w:val="22"/>
          <w:szCs w:val="22"/>
        </w:rPr>
        <w:t xml:space="preserve">Verdict of the audit: </w:t>
      </w:r>
      <w:r>
        <w:rPr>
          <w:rFonts w:ascii="Calibri" w:hAnsi="Calibri"/>
          <w:sz w:val="22"/>
          <w:szCs w:val="22"/>
        </w:rPr>
        <w:t xml:space="preserve">design corroborated. The four-sin diagnosis of every heritage shield is correct; the twelve-layer stack answers each sin by name; the water core copes with the worst bolt heat by three orders of magnitude; the boil-off bound holds; the mass is priced openly at ~590 kg/m2 against Orion's ~49 and the Starship class ~70 — the price of a shield you can service instead of a shield you must worship.</w:t>
      </w:r>
    </w:p>
    <w:p>
      <w:pPr>
        <w:spacing w:before="360" w:after="160" w:line="288" w:lineRule="auto"/>
      </w:pPr>
      <w:r>
        <w:rPr>
          <w:rFonts w:ascii="Calibri" w:hAnsi="Calibri"/>
          <w:b/>
          <w:color w:val="5A6570"/>
          <w:sz w:val="28"/>
          <w:szCs w:val="28"/>
        </w:rPr>
        <w:t xml:space="preserve">1 · The Four Failure Modes</w:t>
      </w:r>
    </w:p>
    <w:p>
      <w:pPr>
        <w:spacing w:before="0" w:after="140" w:line="300" w:lineRule="auto"/>
        <w:jc w:val="both"/>
      </w:pPr>
      <w:r>
        <w:rPr>
          <w:rFonts w:ascii="Calibri" w:hAnsi="Calibri"/>
          <w:sz w:val="22"/>
          <w:szCs w:val="22"/>
        </w:rPr>
        <w:t xml:space="preserve">Every heat shield that ever flew dies of one of four causes, and the Author named them before naming a single material. They are seated here verbatim because everything in the stack answers one of them.</w:t>
      </w:r>
    </w:p>
    <w:p>
      <w:pPr>
        <w:spacing w:before="0" w:after="100" w:line="300" w:lineRule="auto"/>
        <w:ind w:left="432"/>
      </w:pPr>
      <w:r>
        <w:rPr>
          <w:rFonts w:ascii="Calibri" w:hAnsi="Calibri"/>
          <w:b/>
          <w:color w:val="D9A82E"/>
          <w:sz w:val="22"/>
          <w:szCs w:val="22"/>
        </w:rPr>
        <w:t xml:space="preserve">• Ablation is self-sacrifice — the shield survives by throwing itself away, and what is thrown away cannot be inspected, cannot be trusted twice, and cannot teach you anything about the next flight.</w:t>
      </w:r>
    </w:p>
    <w:p>
      <w:pPr>
        <w:spacing w:before="0" w:after="100" w:line="300" w:lineRule="auto"/>
        <w:ind w:left="432"/>
      </w:pPr>
      <w:r>
        <w:rPr>
          <w:rFonts w:ascii="Calibri" w:hAnsi="Calibri"/>
          <w:b/>
          <w:color w:val="D9A82E"/>
          <w:sz w:val="22"/>
          <w:szCs w:val="22"/>
        </w:rPr>
        <w:t xml:space="preserve">• The bonded monolith cannot be inspected — a glued skin over a hull hides its own rot; you can scan all you want and it will not tell you the chemical state of the glue on the rest.</w:t>
      </w:r>
    </w:p>
    <w:p>
      <w:pPr>
        <w:spacing w:before="0" w:after="100" w:line="300" w:lineRule="auto"/>
        <w:ind w:left="432"/>
      </w:pPr>
      <w:r>
        <w:rPr>
          <w:rFonts w:ascii="Calibri" w:hAnsi="Calibri"/>
          <w:b/>
          <w:color w:val="D9A82E"/>
          <w:sz w:val="22"/>
          <w:szCs w:val="22"/>
        </w:rPr>
        <w:t xml:space="preserve">• Glue is a failure path — adhesive is a chemistry experiment running at 1,650 °C; shrinkage, outgassing, and bond-line aging are not defects, they are the material doing what adhesives do.</w:t>
      </w:r>
    </w:p>
    <w:p>
      <w:pPr>
        <w:spacing w:before="0" w:after="100" w:line="300" w:lineRule="auto"/>
        <w:ind w:left="432"/>
      </w:pPr>
      <w:r>
        <w:rPr>
          <w:rFonts w:ascii="Calibri" w:hAnsi="Calibri"/>
          <w:b/>
          <w:color w:val="D9A82E"/>
          <w:sz w:val="22"/>
          <w:szCs w:val="22"/>
        </w:rPr>
        <w:t xml:space="preserve">• Thermal cycling is floor-tile physics — new houses crack tile because the ground has not settled; old houses pop tile off timber because timber shrinks and swells with age, heat, and moisture, and when a tile cannot push forward it pops upward in mini-mountains along the path of least resistance. A shield bolted to a breathing hull is that floor. The same physics, through two variants: heat expansion, and outgassing with glue-and-sealer shrinkage.</w:t>
      </w:r>
    </w:p>
    <w:p>
      <w:pPr>
        <w:spacing w:before="0" w:after="140" w:line="300" w:lineRule="auto"/>
        <w:jc w:val="both"/>
      </w:pPr>
      <w:r>
        <w:rPr>
          <w:rFonts w:ascii="Calibri" w:hAnsi="Calibri"/>
          <w:sz w:val="22"/>
          <w:szCs w:val="22"/>
        </w:rPr>
        <w:t xml:space="preserve">The floor-tile law is the keystone: any layer whose expansion has nowhere to go will make somewhere to go. Every layer of the Living Engine is therefore either free to move, free to be removed, or free to be replaced.</w:t>
      </w:r>
    </w:p>
    <w:p>
      <w:pPr>
        <w:spacing w:before="360" w:after="160" w:line="288" w:lineRule="auto"/>
      </w:pPr>
      <w:r>
        <w:rPr>
          <w:rFonts w:ascii="Calibri" w:hAnsi="Calibri"/>
          <w:b/>
          <w:color w:val="5A6570"/>
          <w:sz w:val="28"/>
          <w:szCs w:val="28"/>
        </w:rPr>
        <w:t xml:space="preserve">2 · The Twelve-Layer Stack</w:t>
      </w:r>
    </w:p>
    <w:p>
      <w:pPr>
        <w:spacing w:before="0" w:after="140" w:line="300" w:lineRule="auto"/>
        <w:jc w:val="both"/>
      </w:pPr>
      <w:r>
        <w:rPr>
          <w:rFonts w:ascii="Calibri" w:hAnsi="Calibri"/>
          <w:sz w:val="22"/>
          <w:szCs w:val="22"/>
        </w:rPr>
        <w:t xml:space="preserve">From the fire inward. Each layer is separate — held together by bolts or locking pins, never by chemistry. The tile bolts hold the whole assembly to the cooling tank.</w:t>
      </w:r>
    </w:p>
    <w:tbl>
      <w:tblPr>
        <w:tblW w:w="5000" w:type="pct"/>
        <w:tblBorders>
          <w:top w:val="single" w:color="5A6570" w:sz="4"/>
          <w:left w:val="single" w:color="5A6570" w:sz="4"/>
          <w:bottom w:val="single" w:color="5A6570" w:sz="4"/>
          <w:right w:val="single" w:color="5A6570" w:sz="4"/>
          <w:insideH w:val="single" w:color="B8C0C8" w:sz="2"/>
          <w:insideV w:val="single" w:color="B8C0C8" w:sz="2"/>
        </w:tblBorders>
      </w:tblPr>
      <w:tblGrid>
        <w:gridCol w:w="500"/>
        <w:gridCol w:w="1900"/>
        <w:gridCol w:w="3300"/>
        <w:gridCol w:w="3900"/>
      </w:tblGrid>
      <w:tr>
        <w:tc>
          <w:tcPr>
            <w:tcW w:w="500" w:type="dxa"/>
            <w:shd w:val="clear" w:fill="EFE7D2"/>
          </w:tcPr>
          <w:p>
            <w:pPr>
              <w:spacing w:before="40" w:after="40" w:line="260" w:lineRule="auto"/>
            </w:pPr>
            <w:r>
              <w:rPr>
                <w:rFonts w:ascii="Calibri" w:hAnsi="Calibri"/>
                <w:b/>
                <w:sz w:val="20"/>
                <w:szCs w:val="20"/>
              </w:rPr>
              <w:t xml:space="preserve">#</w:t>
            </w:r>
          </w:p>
        </w:tc>
        <w:tc>
          <w:tcPr>
            <w:tcW w:w="1900" w:type="dxa"/>
            <w:shd w:val="clear" w:fill="EFE7D2"/>
          </w:tcPr>
          <w:p>
            <w:pPr>
              <w:spacing w:before="40" w:after="40" w:line="260" w:lineRule="auto"/>
            </w:pPr>
            <w:r>
              <w:rPr>
                <w:rFonts w:ascii="Calibri" w:hAnsi="Calibri"/>
                <w:b/>
                <w:sz w:val="20"/>
                <w:szCs w:val="20"/>
              </w:rPr>
              <w:t xml:space="preserve">Layer</w:t>
            </w:r>
          </w:p>
        </w:tc>
        <w:tc>
          <w:tcPr>
            <w:tcW w:w="3300" w:type="dxa"/>
            <w:shd w:val="clear" w:fill="EFE7D2"/>
          </w:tcPr>
          <w:p>
            <w:pPr>
              <w:spacing w:before="40" w:after="40" w:line="260" w:lineRule="auto"/>
            </w:pPr>
            <w:r>
              <w:rPr>
                <w:rFonts w:ascii="Calibri" w:hAnsi="Calibri"/>
                <w:b/>
                <w:sz w:val="20"/>
                <w:szCs w:val="20"/>
              </w:rPr>
              <w:t xml:space="preserve">Material &amp; build</w:t>
            </w:r>
          </w:p>
        </w:tc>
        <w:tc>
          <w:tcPr>
            <w:tcW w:w="3900" w:type="dxa"/>
            <w:shd w:val="clear" w:fill="EFE7D2"/>
          </w:tcPr>
          <w:p>
            <w:pPr>
              <w:spacing w:before="40" w:after="40" w:line="260" w:lineRule="auto"/>
            </w:pPr>
            <w:r>
              <w:rPr>
                <w:rFonts w:ascii="Calibri" w:hAnsi="Calibri"/>
                <w:b/>
                <w:sz w:val="20"/>
                <w:szCs w:val="20"/>
              </w:rPr>
              <w:t xml:space="preserve">Job</w:t>
            </w:r>
          </w:p>
        </w:tc>
      </w:tr>
      <w:tr>
        <w:tc>
          <w:tcPr>
            <w:tcW w:w="500" w:type="dxa"/>
          </w:tcPr>
          <w:p>
            <w:pPr>
              <w:spacing w:before="40" w:after="40" w:line="260" w:lineRule="auto"/>
            </w:pPr>
            <w:r>
              <w:rPr>
                <w:rFonts w:ascii="Calibri" w:hAnsi="Calibri"/>
                <w:sz w:val="20"/>
                <w:szCs w:val="20"/>
              </w:rPr>
              <w:t xml:space="preserve">1</w:t>
            </w:r>
          </w:p>
        </w:tc>
        <w:tc>
          <w:tcPr>
            <w:tcW w:w="1900" w:type="dxa"/>
          </w:tcPr>
          <w:p>
            <w:pPr>
              <w:spacing w:before="40" w:after="40" w:line="260" w:lineRule="auto"/>
            </w:pPr>
            <w:r>
              <w:rPr>
                <w:rFonts w:ascii="Calibri" w:hAnsi="Calibri"/>
                <w:sz w:val="20"/>
                <w:szCs w:val="20"/>
              </w:rPr>
              <w:t xml:space="preserve">Tile faces</w:t>
            </w:r>
          </w:p>
        </w:tc>
        <w:tc>
          <w:tcPr>
            <w:tcW w:w="3300" w:type="dxa"/>
          </w:tcPr>
          <w:p>
            <w:pPr>
              <w:spacing w:before="40" w:after="40" w:line="260" w:lineRule="auto"/>
            </w:pPr>
            <w:r>
              <w:rPr>
                <w:rFonts w:ascii="Calibri" w:hAnsi="Calibri"/>
                <w:sz w:val="20"/>
                <w:szCs w:val="20"/>
              </w:rPr>
              <w:t xml:space="preserve">Carbon-silicate, 240 mm equilateral triangles, 50 mm thick</w:t>
            </w:r>
          </w:p>
        </w:tc>
        <w:tc>
          <w:tcPr>
            <w:tcW w:w="3900" w:type="dxa"/>
          </w:tcPr>
          <w:p>
            <w:pPr>
              <w:spacing w:before="40" w:after="40" w:line="260" w:lineRule="auto"/>
            </w:pPr>
            <w:r>
              <w:rPr>
                <w:rFonts w:ascii="Calibri" w:hAnsi="Calibri"/>
                <w:sz w:val="20"/>
                <w:szCs w:val="20"/>
              </w:rPr>
              <w:t xml:space="preserve">Take the fire; re-radiate; disposable; ship-made</w:t>
            </w:r>
          </w:p>
        </w:tc>
      </w:tr>
      <w:tr>
        <w:tc>
          <w:tcPr>
            <w:tcW w:w="500" w:type="dxa"/>
          </w:tcPr>
          <w:p>
            <w:pPr>
              <w:spacing w:before="40" w:after="40" w:line="260" w:lineRule="auto"/>
            </w:pPr>
            <w:r>
              <w:rPr>
                <w:rFonts w:ascii="Calibri" w:hAnsi="Calibri"/>
                <w:sz w:val="20"/>
                <w:szCs w:val="20"/>
              </w:rPr>
              <w:t xml:space="preserve">2</w:t>
            </w:r>
          </w:p>
        </w:tc>
        <w:tc>
          <w:tcPr>
            <w:tcW w:w="1900" w:type="dxa"/>
          </w:tcPr>
          <w:p>
            <w:pPr>
              <w:spacing w:before="40" w:after="40" w:line="260" w:lineRule="auto"/>
            </w:pPr>
            <w:r>
              <w:rPr>
                <w:rFonts w:ascii="Calibri" w:hAnsi="Calibri"/>
                <w:sz w:val="20"/>
                <w:szCs w:val="20"/>
              </w:rPr>
              <w:t xml:space="preserve">Gasket membrane</w:t>
            </w:r>
          </w:p>
        </w:tc>
        <w:tc>
          <w:tcPr>
            <w:tcW w:w="3300" w:type="dxa"/>
          </w:tcPr>
          <w:p>
            <w:pPr>
              <w:spacing w:before="40" w:after="40" w:line="260" w:lineRule="auto"/>
            </w:pPr>
            <w:r>
              <w:rPr>
                <w:rFonts w:ascii="Calibri" w:hAnsi="Calibri"/>
                <w:sz w:val="20"/>
                <w:szCs w:val="20"/>
              </w:rPr>
              <w:t xml:space="preserve">RTV-560 silicone, 0.1% DBT bulk / 0.25% skin, ~5 mm compressed</w:t>
            </w:r>
          </w:p>
        </w:tc>
        <w:tc>
          <w:tcPr>
            <w:tcW w:w="3900" w:type="dxa"/>
          </w:tcPr>
          <w:p>
            <w:pPr>
              <w:spacing w:before="40" w:after="40" w:line="260" w:lineRule="auto"/>
            </w:pPr>
            <w:r>
              <w:rPr>
                <w:rFonts w:ascii="Calibri" w:hAnsi="Calibri"/>
                <w:sz w:val="20"/>
                <w:szCs w:val="20"/>
              </w:rPr>
              <w:t xml:space="preserve">Seals faces AND fills seams — two jobs, one solution; no glue anywhere</w:t>
            </w:r>
          </w:p>
        </w:tc>
      </w:tr>
      <w:tr>
        <w:tc>
          <w:tcPr>
            <w:tcW w:w="500" w:type="dxa"/>
          </w:tcPr>
          <w:p>
            <w:pPr>
              <w:spacing w:before="40" w:after="40" w:line="260" w:lineRule="auto"/>
            </w:pPr>
            <w:r>
              <w:rPr>
                <w:rFonts w:ascii="Calibri" w:hAnsi="Calibri"/>
                <w:sz w:val="20"/>
                <w:szCs w:val="20"/>
              </w:rPr>
              <w:t xml:space="preserve">3</w:t>
            </w:r>
          </w:p>
        </w:tc>
        <w:tc>
          <w:tcPr>
            <w:tcW w:w="1900" w:type="dxa"/>
          </w:tcPr>
          <w:p>
            <w:pPr>
              <w:spacing w:before="40" w:after="40" w:line="260" w:lineRule="auto"/>
            </w:pPr>
            <w:r>
              <w:rPr>
                <w:rFonts w:ascii="Calibri" w:hAnsi="Calibri"/>
                <w:sz w:val="20"/>
                <w:szCs w:val="20"/>
              </w:rPr>
              <w:t xml:space="preserve">Degassing chamber</w:t>
            </w:r>
          </w:p>
        </w:tc>
        <w:tc>
          <w:tcPr>
            <w:tcW w:w="3300" w:type="dxa"/>
          </w:tcPr>
          <w:p>
            <w:pPr>
              <w:spacing w:before="40" w:after="40" w:line="260" w:lineRule="auto"/>
            </w:pPr>
            <w:r>
              <w:rPr>
                <w:rFonts w:ascii="Calibri" w:hAnsi="Calibri"/>
                <w:sz w:val="20"/>
                <w:szCs w:val="20"/>
              </w:rPr>
              <w:t xml:space="preserve">Lightly compressed coking-coal granules, mesh-covered</w:t>
            </w:r>
          </w:p>
        </w:tc>
        <w:tc>
          <w:tcPr>
            <w:tcW w:w="3900" w:type="dxa"/>
          </w:tcPr>
          <w:p>
            <w:pPr>
              <w:spacing w:before="40" w:after="40" w:line="260" w:lineRule="auto"/>
            </w:pPr>
            <w:r>
              <w:rPr>
                <w:rFonts w:ascii="Calibri" w:hAnsi="Calibri"/>
                <w:sz w:val="20"/>
                <w:szCs w:val="20"/>
              </w:rPr>
              <w:t xml:space="preserve">Captures outgas that cannot go forward; granules crush to make volumetric space</w:t>
            </w:r>
          </w:p>
        </w:tc>
      </w:tr>
      <w:tr>
        <w:tc>
          <w:tcPr>
            <w:tcW w:w="500" w:type="dxa"/>
          </w:tcPr>
          <w:p>
            <w:pPr>
              <w:spacing w:before="40" w:after="40" w:line="260" w:lineRule="auto"/>
            </w:pPr>
            <w:r>
              <w:rPr>
                <w:rFonts w:ascii="Calibri" w:hAnsi="Calibri"/>
                <w:sz w:val="20"/>
                <w:szCs w:val="20"/>
              </w:rPr>
              <w:t xml:space="preserve">4</w:t>
            </w:r>
          </w:p>
        </w:tc>
        <w:tc>
          <w:tcPr>
            <w:tcW w:w="1900" w:type="dxa"/>
          </w:tcPr>
          <w:p>
            <w:pPr>
              <w:spacing w:before="40" w:after="40" w:line="260" w:lineRule="auto"/>
            </w:pPr>
            <w:r>
              <w:rPr>
                <w:rFonts w:ascii="Calibri" w:hAnsi="Calibri"/>
                <w:sz w:val="20"/>
                <w:szCs w:val="20"/>
              </w:rPr>
              <w:t xml:space="preserve">Coldrock</w:t>
            </w:r>
          </w:p>
        </w:tc>
        <w:tc>
          <w:tcPr>
            <w:tcW w:w="3300" w:type="dxa"/>
          </w:tcPr>
          <w:p>
            <w:pPr>
              <w:spacing w:before="40" w:after="40" w:line="260" w:lineRule="auto"/>
            </w:pPr>
            <w:r>
              <w:rPr>
                <w:rFonts w:ascii="Calibri" w:hAnsi="Calibri"/>
                <w:sz w:val="20"/>
                <w:szCs w:val="20"/>
              </w:rPr>
              <w:t xml:space="preserve">50 mm</w:t>
            </w:r>
          </w:p>
        </w:tc>
        <w:tc>
          <w:tcPr>
            <w:tcW w:w="3900" w:type="dxa"/>
          </w:tcPr>
          <w:p>
            <w:pPr>
              <w:spacing w:before="40" w:after="40" w:line="260" w:lineRule="auto"/>
            </w:pPr>
            <w:r>
              <w:rPr>
                <w:rFonts w:ascii="Calibri" w:hAnsi="Calibri"/>
                <w:sz w:val="20"/>
                <w:szCs w:val="20"/>
              </w:rPr>
              <w:t xml:space="preserve">Slows all other heat for a good portion of the time</w:t>
            </w:r>
          </w:p>
        </w:tc>
      </w:tr>
      <w:tr>
        <w:tc>
          <w:tcPr>
            <w:tcW w:w="500" w:type="dxa"/>
          </w:tcPr>
          <w:p>
            <w:pPr>
              <w:spacing w:before="40" w:after="40" w:line="260" w:lineRule="auto"/>
            </w:pPr>
            <w:r>
              <w:rPr>
                <w:rFonts w:ascii="Calibri" w:hAnsi="Calibri"/>
                <w:sz w:val="20"/>
                <w:szCs w:val="20"/>
              </w:rPr>
              <w:t xml:space="preserve">5</w:t>
            </w:r>
          </w:p>
        </w:tc>
        <w:tc>
          <w:tcPr>
            <w:tcW w:w="1900" w:type="dxa"/>
          </w:tcPr>
          <w:p>
            <w:pPr>
              <w:spacing w:before="40" w:after="40" w:line="260" w:lineRule="auto"/>
            </w:pPr>
            <w:r>
              <w:rPr>
                <w:rFonts w:ascii="Calibri" w:hAnsi="Calibri"/>
                <w:sz w:val="20"/>
                <w:szCs w:val="20"/>
              </w:rPr>
              <w:t xml:space="preserve">Aluminium sink</w:t>
            </w:r>
          </w:p>
        </w:tc>
        <w:tc>
          <w:tcPr>
            <w:tcW w:w="3300" w:type="dxa"/>
          </w:tcPr>
          <w:p>
            <w:pPr>
              <w:spacing w:before="40" w:after="40" w:line="260" w:lineRule="auto"/>
            </w:pPr>
            <w:r>
              <w:rPr>
                <w:rFonts w:ascii="Calibri" w:hAnsi="Calibri"/>
                <w:sz w:val="20"/>
                <w:szCs w:val="20"/>
              </w:rPr>
              <w:t xml:space="preserve">60 mm</w:t>
            </w:r>
          </w:p>
        </w:tc>
        <w:tc>
          <w:tcPr>
            <w:tcW w:w="3900" w:type="dxa"/>
          </w:tcPr>
          <w:p>
            <w:pPr>
              <w:spacing w:before="40" w:after="40" w:line="260" w:lineRule="auto"/>
            </w:pPr>
            <w:r>
              <w:rPr>
                <w:rFonts w:ascii="Calibri" w:hAnsi="Calibri"/>
                <w:sz w:val="20"/>
                <w:szCs w:val="20"/>
              </w:rPr>
              <w:t xml:space="preserve">Heat sink; bolt heat-sinking; melt-dam collars at bolt entries</w:t>
            </w:r>
          </w:p>
        </w:tc>
      </w:tr>
      <w:tr>
        <w:tc>
          <w:tcPr>
            <w:tcW w:w="500" w:type="dxa"/>
          </w:tcPr>
          <w:p>
            <w:pPr>
              <w:spacing w:before="40" w:after="40" w:line="260" w:lineRule="auto"/>
            </w:pPr>
            <w:r>
              <w:rPr>
                <w:rFonts w:ascii="Calibri" w:hAnsi="Calibri"/>
                <w:sz w:val="20"/>
                <w:szCs w:val="20"/>
              </w:rPr>
              <w:t xml:space="preserve">6</w:t>
            </w:r>
          </w:p>
        </w:tc>
        <w:tc>
          <w:tcPr>
            <w:tcW w:w="1900" w:type="dxa"/>
          </w:tcPr>
          <w:p>
            <w:pPr>
              <w:spacing w:before="40" w:after="40" w:line="260" w:lineRule="auto"/>
            </w:pPr>
            <w:r>
              <w:rPr>
                <w:rFonts w:ascii="Calibri" w:hAnsi="Calibri"/>
                <w:sz w:val="20"/>
                <w:szCs w:val="20"/>
              </w:rPr>
              <w:t xml:space="preserve">Tank top plate</w:t>
            </w:r>
          </w:p>
        </w:tc>
        <w:tc>
          <w:tcPr>
            <w:tcW w:w="3300" w:type="dxa"/>
          </w:tcPr>
          <w:p>
            <w:pPr>
              <w:spacing w:before="40" w:after="40" w:line="260" w:lineRule="auto"/>
            </w:pPr>
            <w:r>
              <w:rPr>
                <w:rFonts w:ascii="Calibri" w:hAnsi="Calibri"/>
                <w:sz w:val="20"/>
                <w:szCs w:val="20"/>
              </w:rPr>
              <w:t xml:space="preserve">309 stainless, 10 mm</w:t>
            </w:r>
          </w:p>
        </w:tc>
        <w:tc>
          <w:tcPr>
            <w:tcW w:w="3900" w:type="dxa"/>
          </w:tcPr>
          <w:p>
            <w:pPr>
              <w:spacing w:before="40" w:after="40" w:line="260" w:lineRule="auto"/>
            </w:pPr>
            <w:r>
              <w:rPr>
                <w:rFonts w:ascii="Calibri" w:hAnsi="Calibri"/>
                <w:sz w:val="20"/>
                <w:szCs w:val="20"/>
              </w:rPr>
              <w:t xml:space="preserve">Bolt anchor and upper skeleton plate; water-clamped below boiling while wet; the ally shell is built around it, never welded to it (Sitting 699)</w:t>
            </w:r>
          </w:p>
        </w:tc>
      </w:tr>
      <w:tr>
        <w:tc>
          <w:tcPr>
            <w:tcW w:w="500" w:type="dxa"/>
          </w:tcPr>
          <w:p>
            <w:pPr>
              <w:spacing w:before="40" w:after="40" w:line="260" w:lineRule="auto"/>
            </w:pPr>
            <w:r>
              <w:rPr>
                <w:rFonts w:ascii="Calibri" w:hAnsi="Calibri"/>
                <w:sz w:val="20"/>
                <w:szCs w:val="20"/>
              </w:rPr>
              <w:t xml:space="preserve">7</w:t>
            </w:r>
          </w:p>
        </w:tc>
        <w:tc>
          <w:tcPr>
            <w:tcW w:w="1900" w:type="dxa"/>
          </w:tcPr>
          <w:p>
            <w:pPr>
              <w:spacing w:before="40" w:after="40" w:line="260" w:lineRule="auto"/>
            </w:pPr>
            <w:r>
              <w:rPr>
                <w:rFonts w:ascii="Calibri" w:hAnsi="Calibri"/>
                <w:sz w:val="20"/>
                <w:szCs w:val="20"/>
              </w:rPr>
              <w:t xml:space="preserve">Water core</w:t>
            </w:r>
          </w:p>
        </w:tc>
        <w:tc>
          <w:tcPr>
            <w:tcW w:w="3300" w:type="dxa"/>
          </w:tcPr>
          <w:p>
            <w:pPr>
              <w:spacing w:before="40" w:after="40" w:line="260" w:lineRule="auto"/>
            </w:pPr>
            <w:r>
              <w:rPr>
                <w:rFonts w:ascii="Calibri" w:hAnsi="Calibri"/>
                <w:sz w:val="20"/>
                <w:szCs w:val="20"/>
              </w:rPr>
              <w:t xml:space="preserve">100 mm, baffled</w:t>
            </w:r>
          </w:p>
        </w:tc>
        <w:tc>
          <w:tcPr>
            <w:tcW w:w="3900" w:type="dxa"/>
          </w:tcPr>
          <w:p>
            <w:pPr>
              <w:spacing w:before="40" w:after="40" w:line="260" w:lineRule="auto"/>
            </w:pPr>
            <w:r>
              <w:rPr>
                <w:rFonts w:ascii="Calibri" w:hAnsi="Calibri"/>
                <w:sz w:val="20"/>
                <w:szCs w:val="20"/>
              </w:rPr>
              <w:t xml:space="preserve">The radiator: absorbs, boils, bleeds steam rearward</w:t>
            </w:r>
          </w:p>
        </w:tc>
      </w:tr>
      <w:tr>
        <w:tc>
          <w:tcPr>
            <w:tcW w:w="500" w:type="dxa"/>
          </w:tcPr>
          <w:p>
            <w:pPr>
              <w:spacing w:before="40" w:after="40" w:line="260" w:lineRule="auto"/>
            </w:pPr>
            <w:r>
              <w:rPr>
                <w:rFonts w:ascii="Calibri" w:hAnsi="Calibri"/>
                <w:sz w:val="20"/>
                <w:szCs w:val="20"/>
              </w:rPr>
              <w:t xml:space="preserve">8</w:t>
            </w:r>
          </w:p>
        </w:tc>
        <w:tc>
          <w:tcPr>
            <w:tcW w:w="1900" w:type="dxa"/>
          </w:tcPr>
          <w:p>
            <w:pPr>
              <w:spacing w:before="40" w:after="40" w:line="260" w:lineRule="auto"/>
            </w:pPr>
            <w:r>
              <w:rPr>
                <w:rFonts w:ascii="Calibri" w:hAnsi="Calibri"/>
                <w:sz w:val="20"/>
                <w:szCs w:val="20"/>
              </w:rPr>
              <w:t xml:space="preserve">Tank walls and base</w:t>
            </w:r>
          </w:p>
        </w:tc>
        <w:tc>
          <w:tcPr>
            <w:tcW w:w="3300" w:type="dxa"/>
          </w:tcPr>
          <w:p>
            <w:pPr>
              <w:spacing w:before="40" w:after="40" w:line="260" w:lineRule="auto"/>
            </w:pPr>
            <w:r>
              <w:rPr>
                <w:rFonts w:ascii="Calibri" w:hAnsi="Calibri"/>
                <w:sz w:val="20"/>
                <w:szCs w:val="20"/>
              </w:rPr>
              <w:t xml:space="preserve">Aluminium, 6 mm</w:t>
            </w:r>
          </w:p>
        </w:tc>
        <w:tc>
          <w:tcPr>
            <w:tcW w:w="3900" w:type="dxa"/>
          </w:tcPr>
          <w:p>
            <w:pPr>
              <w:spacing w:before="40" w:after="40" w:line="260" w:lineRule="auto"/>
            </w:pPr>
            <w:r>
              <w:rPr>
                <w:rFonts w:ascii="Calibri" w:hAnsi="Calibri"/>
                <w:sz w:val="20"/>
                <w:szCs w:val="20"/>
              </w:rPr>
              <w:t xml:space="preserve">Containment shell built around the stainless skeleton; ally-ally welds 5-6 mm fillets (5356/4043); no dissimilar-metal welds anywhere (Sitting 699)</w:t>
            </w:r>
          </w:p>
        </w:tc>
      </w:tr>
      <w:tr>
        <w:tc>
          <w:tcPr>
            <w:tcW w:w="500" w:type="dxa"/>
          </w:tcPr>
          <w:p>
            <w:pPr>
              <w:spacing w:before="40" w:after="40" w:line="260" w:lineRule="auto"/>
            </w:pPr>
            <w:r>
              <w:rPr>
                <w:rFonts w:ascii="Calibri" w:hAnsi="Calibri"/>
                <w:sz w:val="20"/>
                <w:szCs w:val="20"/>
              </w:rPr>
              <w:t xml:space="preserve">9</w:t>
            </w:r>
          </w:p>
        </w:tc>
        <w:tc>
          <w:tcPr>
            <w:tcW w:w="1900" w:type="dxa"/>
          </w:tcPr>
          <w:p>
            <w:pPr>
              <w:spacing w:before="40" w:after="40" w:line="260" w:lineRule="auto"/>
            </w:pPr>
            <w:r>
              <w:rPr>
                <w:rFonts w:ascii="Calibri" w:hAnsi="Calibri"/>
                <w:sz w:val="20"/>
                <w:szCs w:val="20"/>
              </w:rPr>
              <w:t xml:space="preserve">Coldrock</w:t>
            </w:r>
          </w:p>
        </w:tc>
        <w:tc>
          <w:tcPr>
            <w:tcW w:w="3300" w:type="dxa"/>
          </w:tcPr>
          <w:p>
            <w:pPr>
              <w:spacing w:before="40" w:after="40" w:line="260" w:lineRule="auto"/>
            </w:pPr>
            <w:r>
              <w:rPr>
                <w:rFonts w:ascii="Calibri" w:hAnsi="Calibri"/>
                <w:sz w:val="20"/>
                <w:szCs w:val="20"/>
              </w:rPr>
              <w:t xml:space="preserve">50 mm</w:t>
            </w:r>
          </w:p>
        </w:tc>
        <w:tc>
          <w:tcPr>
            <w:tcW w:w="3900" w:type="dxa"/>
          </w:tcPr>
          <w:p>
            <w:pPr>
              <w:spacing w:before="40" w:after="40" w:line="260" w:lineRule="auto"/>
            </w:pPr>
            <w:r>
              <w:rPr>
                <w:rFonts w:ascii="Calibri" w:hAnsi="Calibri"/>
                <w:sz w:val="20"/>
                <w:szCs w:val="20"/>
              </w:rPr>
              <w:t xml:space="preserve">Second thermal break behind the water</w:t>
            </w:r>
          </w:p>
        </w:tc>
      </w:tr>
      <w:tr>
        <w:tc>
          <w:tcPr>
            <w:tcW w:w="500" w:type="dxa"/>
          </w:tcPr>
          <w:p>
            <w:pPr>
              <w:spacing w:before="40" w:after="40" w:line="260" w:lineRule="auto"/>
            </w:pPr>
            <w:r>
              <w:rPr>
                <w:rFonts w:ascii="Calibri" w:hAnsi="Calibri"/>
                <w:sz w:val="20"/>
                <w:szCs w:val="20"/>
              </w:rPr>
              <w:t xml:space="preserve">10</w:t>
            </w:r>
          </w:p>
        </w:tc>
        <w:tc>
          <w:tcPr>
            <w:tcW w:w="1900" w:type="dxa"/>
          </w:tcPr>
          <w:p>
            <w:pPr>
              <w:spacing w:before="40" w:after="40" w:line="260" w:lineRule="auto"/>
            </w:pPr>
            <w:r>
              <w:rPr>
                <w:rFonts w:ascii="Calibri" w:hAnsi="Calibri"/>
                <w:sz w:val="20"/>
                <w:szCs w:val="20"/>
              </w:rPr>
              <w:t xml:space="preserve">Seal plate</w:t>
            </w:r>
          </w:p>
        </w:tc>
        <w:tc>
          <w:tcPr>
            <w:tcW w:w="3300" w:type="dxa"/>
          </w:tcPr>
          <w:p>
            <w:pPr>
              <w:spacing w:before="40" w:after="40" w:line="260" w:lineRule="auto"/>
            </w:pPr>
            <w:r>
              <w:rPr>
                <w:rFonts w:ascii="Calibri" w:hAnsi="Calibri"/>
                <w:sz w:val="20"/>
                <w:szCs w:val="20"/>
              </w:rPr>
              <w:t xml:space="preserve">Stainless, 5 mm</w:t>
            </w:r>
          </w:p>
        </w:tc>
        <w:tc>
          <w:tcPr>
            <w:tcW w:w="3900" w:type="dxa"/>
          </w:tcPr>
          <w:p>
            <w:pPr>
              <w:spacing w:before="40" w:after="40" w:line="260" w:lineRule="auto"/>
            </w:pPr>
            <w:r>
              <w:rPr>
                <w:rFonts w:ascii="Calibri" w:hAnsi="Calibri"/>
                <w:sz w:val="20"/>
                <w:szCs w:val="20"/>
              </w:rPr>
              <w:t xml:space="preserve">Closes the tank</w:t>
            </w:r>
          </w:p>
        </w:tc>
      </w:tr>
      <w:tr>
        <w:tc>
          <w:tcPr>
            <w:tcW w:w="500" w:type="dxa"/>
          </w:tcPr>
          <w:p>
            <w:pPr>
              <w:spacing w:before="40" w:after="40" w:line="260" w:lineRule="auto"/>
            </w:pPr>
            <w:r>
              <w:rPr>
                <w:rFonts w:ascii="Calibri" w:hAnsi="Calibri"/>
                <w:sz w:val="20"/>
                <w:szCs w:val="20"/>
              </w:rPr>
              <w:t xml:space="preserve">11</w:t>
            </w:r>
          </w:p>
        </w:tc>
        <w:tc>
          <w:tcPr>
            <w:tcW w:w="1900" w:type="dxa"/>
          </w:tcPr>
          <w:p>
            <w:pPr>
              <w:spacing w:before="40" w:after="40" w:line="260" w:lineRule="auto"/>
            </w:pPr>
            <w:r>
              <w:rPr>
                <w:rFonts w:ascii="Calibri" w:hAnsi="Calibri"/>
                <w:sz w:val="20"/>
                <w:szCs w:val="20"/>
              </w:rPr>
              <w:t xml:space="preserve">Slot rails</w:t>
            </w:r>
          </w:p>
        </w:tc>
        <w:tc>
          <w:tcPr>
            <w:tcW w:w="3300" w:type="dxa"/>
          </w:tcPr>
          <w:p>
            <w:pPr>
              <w:spacing w:before="40" w:after="40" w:line="260" w:lineRule="auto"/>
            </w:pPr>
            <w:r>
              <w:rPr>
                <w:rFonts w:ascii="Calibri" w:hAnsi="Calibri"/>
                <w:sz w:val="20"/>
                <w:szCs w:val="20"/>
              </w:rPr>
              <w:t xml:space="preserve">Expansion rail in slot</w:t>
            </w:r>
          </w:p>
        </w:tc>
        <w:tc>
          <w:tcPr>
            <w:tcW w:w="3900" w:type="dxa"/>
          </w:tcPr>
          <w:p>
            <w:pPr>
              <w:spacing w:before="40" w:after="40" w:line="260" w:lineRule="auto"/>
            </w:pPr>
            <w:r>
              <w:rPr>
                <w:rFonts w:ascii="Calibri" w:hAnsi="Calibri"/>
                <w:sz w:val="20"/>
                <w:szCs w:val="20"/>
              </w:rPr>
              <w:t xml:space="preserve">Slides onto the vehicle; all pressure holds it on; no inertia acts to remove it</w:t>
            </w:r>
          </w:p>
        </w:tc>
      </w:tr>
      <w:tr>
        <w:tc>
          <w:tcPr>
            <w:tcW w:w="500" w:type="dxa"/>
          </w:tcPr>
          <w:p>
            <w:pPr>
              <w:spacing w:before="40" w:after="40" w:line="260" w:lineRule="auto"/>
            </w:pPr>
            <w:r>
              <w:rPr>
                <w:rFonts w:ascii="Calibri" w:hAnsi="Calibri"/>
                <w:sz w:val="20"/>
                <w:szCs w:val="20"/>
              </w:rPr>
              <w:t xml:space="preserve">12</w:t>
            </w:r>
          </w:p>
        </w:tc>
        <w:tc>
          <w:tcPr>
            <w:tcW w:w="1900" w:type="dxa"/>
          </w:tcPr>
          <w:p>
            <w:pPr>
              <w:spacing w:before="40" w:after="40" w:line="260" w:lineRule="auto"/>
            </w:pPr>
            <w:r>
              <w:rPr>
                <w:rFonts w:ascii="Calibri" w:hAnsi="Calibri"/>
                <w:sz w:val="20"/>
                <w:szCs w:val="20"/>
              </w:rPr>
              <w:t xml:space="preserve">The ship</w:t>
            </w:r>
          </w:p>
        </w:tc>
        <w:tc>
          <w:tcPr>
            <w:tcW w:w="3300" w:type="dxa"/>
          </w:tcPr>
          <w:p>
            <w:pPr>
              <w:spacing w:before="40" w:after="40" w:line="260" w:lineRule="auto"/>
            </w:pPr>
            <w:r>
              <w:rPr>
                <w:rFonts w:ascii="Calibri" w:hAnsi="Calibri"/>
                <w:sz w:val="20"/>
                <w:szCs w:val="20"/>
              </w:rPr>
              <w:t xml:space="preserve">Galileo's own insulated hull</w:t>
            </w:r>
          </w:p>
        </w:tc>
        <w:tc>
          <w:tcPr>
            <w:tcW w:w="3900" w:type="dxa"/>
          </w:tcPr>
          <w:p>
            <w:pPr>
              <w:spacing w:before="40" w:after="40" w:line="260" w:lineRule="auto"/>
            </w:pPr>
            <w:r>
              <w:rPr>
                <w:rFonts w:ascii="Calibri" w:hAnsi="Calibri"/>
                <w:sz w:val="20"/>
                <w:szCs w:val="20"/>
              </w:rPr>
              <w:t xml:space="preserve">Carries the radiation insurance; the shield is attached, never built on</w:t>
            </w:r>
          </w:p>
        </w:tc>
      </w:tr>
    </w:tbl>
    <w:p>
      <w:pPr>
        <w:spacing w:before="0" w:after="120" w:line="288" w:lineRule="auto"/>
      </w:pPr>
      <w:r>
        <w:rPr>
          <w:rFonts w:ascii="Calibri" w:hAnsi="Calibri"/>
          <w:sz w:val="22"/>
          <w:szCs w:val="22"/>
        </w:rPr>
        <w:t xml:space="preserve"/>
      </w:r>
    </w:p>
    <w:p>
      <w:pPr>
        <w:spacing w:before="0" w:after="140" w:line="300" w:lineRule="auto"/>
        <w:jc w:val="both"/>
      </w:pPr>
      <w:r>
        <w:rPr>
          <w:rFonts w:ascii="Calibri" w:hAnsi="Calibri"/>
          <w:b/>
          <w:color w:val="3A3A3A"/>
          <w:sz w:val="22"/>
          <w:szCs w:val="22"/>
        </w:rPr>
        <w:t xml:space="preserve">The inversion: </w:t>
      </w:r>
      <w:r>
        <w:rPr>
          <w:rFonts w:ascii="Calibri" w:hAnsi="Calibri"/>
          <w:sz w:val="22"/>
          <w:szCs w:val="22"/>
        </w:rPr>
        <w:t xml:space="preserve">the primary design flaw across every heritage program is designing a shield to fit a ship. You design a ship to fit a shield. The Mars ablation lesson is that what followed it was merely insulated with almost no heat shield at all — so the Living Engine is a shaped shield that fits an insulated vehicle, attached as previously noted with the disposable carbon faces. It will look the same. It is not the same.</w:t>
      </w:r>
    </w:p>
    <w:p>
      <w:pPr>
        <w:spacing w:before="0" w:after="140" w:line="300" w:lineRule="auto"/>
        <w:jc w:val="both"/>
      </w:pPr>
      <w:r>
        <w:rPr>
          <w:rFonts w:ascii="Calibri" w:hAnsi="Calibri"/>
          <w:b/>
          <w:color w:val="3A3A3A"/>
          <w:sz w:val="22"/>
          <w:szCs w:val="22"/>
        </w:rPr>
        <w:t xml:space="preserve">Tank construction (Sitting 699): </w:t>
      </w:r>
      <w:r>
        <w:rPr>
          <w:rFonts w:ascii="Calibri" w:hAnsi="Calibri"/>
          <w:sz w:val="22"/>
          <w:szCs w:val="22"/>
        </w:rPr>
        <w:t xml:space="preserve">the tank is a stainless skeleton wrapped in an aluminium shell — a 10 mm 309 upper plate with wall cross-braces and baffles inside, and 6 mm aluminium walls and base built around it. No welding between metals, ever: the shell is built around the frame, not connected to it by welding. Within each metal the welds stand — ally wall-to-base 5-6 mm fillets with 5356 or 4043 filler, stainless plate-to-brace 7-8 mm fillets. Between the two metals: mechanical fitment only, with galvanic isolation (the tank holds water — an electrolyte — so bare stainless against bare aluminium is a corrosion cell), a sacrificial friction barrier against rub-scoring under slosh and vibration, and flexible sealing across the expansion mismatch — aluminium grows about 1.4x stainless per degree, and this tank freezes in space then boils in the fire. The seal method at the plate-to-wall joint is owed.</w:t>
      </w:r>
    </w:p>
    <w:p>
      <w:pPr>
        <w:spacing w:before="360" w:after="160" w:line="288" w:lineRule="auto"/>
      </w:pPr>
      <w:r>
        <w:rPr>
          <w:rFonts w:ascii="Calibri" w:hAnsi="Calibri"/>
          <w:b/>
          <w:color w:val="5A6570"/>
          <w:sz w:val="28"/>
          <w:szCs w:val="28"/>
        </w:rPr>
        <w:t xml:space="preserve">3 · The Tiling Law</w:t>
      </w:r>
    </w:p>
    <w:p>
      <w:pPr>
        <w:spacing w:before="0" w:after="140" w:line="300" w:lineRule="auto"/>
        <w:jc w:val="both"/>
      </w:pPr>
      <w:r>
        <w:rPr>
          <w:rFonts w:ascii="Calibri" w:hAnsi="Calibri"/>
          <w:b/>
          <w:color w:val="3A3A3A"/>
          <w:sz w:val="22"/>
          <w:szCs w:val="22"/>
        </w:rPr>
        <w:t xml:space="preserve">Shape: </w:t>
      </w:r>
      <w:r>
        <w:rPr>
          <w:rFonts w:ascii="Calibri" w:hAnsi="Calibri"/>
          <w:sz w:val="22"/>
          <w:szCs w:val="22"/>
        </w:rPr>
        <w:t xml:space="preserve">equilateral triangles, 240 mm sides, 50 mm thick — thinner than heritage tiles because there is a full system beneath them. No hexagons: no physics in 2D supports the hexagon as a flat tiling shape — geodesic yes, flat no. Where downsizing is required, the tiles downsize like animal scales, by Sierpinski: 240 to 120 to 60 to 30 mm, keeping gasket spacing at every scale.</w:t>
      </w:r>
    </w:p>
    <w:p>
      <w:pPr>
        <w:spacing w:before="0" w:after="140" w:line="300" w:lineRule="auto"/>
        <w:jc w:val="both"/>
      </w:pPr>
      <w:r>
        <w:rPr>
          <w:rFonts w:ascii="Calibri" w:hAnsi="Calibri"/>
          <w:b/>
          <w:color w:val="3A3A3A"/>
          <w:sz w:val="22"/>
          <w:szCs w:val="22"/>
        </w:rPr>
        <w:t xml:space="preserve">Curves: </w:t>
      </w:r>
      <w:r>
        <w:rPr>
          <w:rFonts w:ascii="Calibri" w:hAnsi="Calibri"/>
          <w:sz w:val="22"/>
          <w:szCs w:val="22"/>
        </w:rPr>
        <w:t xml:space="preserve">tight-turn cowl shapes — wing edges, nose and tail leading heat zones — are purpose-made curve units, 500 mm to 1 m sections with jigsaw-fit match points.</w:t>
      </w:r>
    </w:p>
    <w:p>
      <w:pPr>
        <w:spacing w:before="0" w:after="140" w:line="300" w:lineRule="auto"/>
        <w:jc w:val="both"/>
      </w:pPr>
      <w:r>
        <w:rPr>
          <w:rFonts w:ascii="Calibri" w:hAnsi="Calibri"/>
          <w:b/>
          <w:color w:val="3A3A3A"/>
          <w:sz w:val="22"/>
          <w:szCs w:val="22"/>
        </w:rPr>
        <w:t xml:space="preserve">Bolts: </w:t>
      </w:r>
      <w:r>
        <w:rPr>
          <w:rFonts w:ascii="Calibri" w:hAnsi="Calibri"/>
          <w:sz w:val="22"/>
          <w:szCs w:val="22"/>
        </w:rPr>
        <w:t xml:space="preserve">stainless 310, dead centre of each tile only — an off-centre bolt is a weak point. The hole end is filled with a basic clay-carbon infill paste. Every bolt is heat-sunk to the aluminium on the inner water core, which bleeds the steam rearward as per the shuttle doctrine.</w:t>
      </w:r>
    </w:p>
    <w:p>
      <w:pPr>
        <w:spacing w:before="0" w:after="140" w:line="300" w:lineRule="auto"/>
        <w:jc w:val="both"/>
      </w:pPr>
      <w:r>
        <w:rPr>
          <w:rFonts w:ascii="Calibri" w:hAnsi="Calibri"/>
          <w:b/>
          <w:color w:val="3A3A3A"/>
          <w:sz w:val="22"/>
          <w:szCs w:val="22"/>
        </w:rPr>
        <w:t xml:space="preserve">The membrane trick: </w:t>
      </w:r>
      <w:r>
        <w:rPr>
          <w:rFonts w:ascii="Calibri" w:hAnsi="Calibri"/>
          <w:sz w:val="22"/>
          <w:szCs w:val="22"/>
        </w:rPr>
        <w:t xml:space="preserve">imagine small bathroom tiles already on their mesh. Flip the sheet upside down and push it into a tray of marshmallow up to the mesh. The face seals to the marshmallow and the marshmallow fills between the tiles — two jobs, one solution. The membrane spills over the upper edges at the outset, then retracts to a similar height finish at cure.</w:t>
      </w:r>
    </w:p>
    <w:p>
      <w:pPr>
        <w:spacing w:before="0" w:after="140" w:line="300" w:lineRule="auto"/>
        <w:jc w:val="both"/>
      </w:pPr>
      <w:r>
        <w:rPr>
          <w:rFonts w:ascii="Calibri" w:hAnsi="Calibri"/>
          <w:b/>
          <w:color w:val="3A3A3A"/>
          <w:sz w:val="22"/>
          <w:szCs w:val="22"/>
        </w:rPr>
        <w:t xml:space="preserve">Cure doctrine: </w:t>
      </w:r>
      <w:r>
        <w:rPr>
          <w:rFonts w:ascii="Calibri" w:hAnsi="Calibri"/>
          <w:sz w:val="22"/>
          <w:szCs w:val="22"/>
        </w:rPr>
        <w:t xml:space="preserve">RTV-560 silicone with DBT catalyst at 0.1% in the bulk significantly lengthens pot life and slows the cure — days, like silyl-modified polymers. Compress to about 5 mm, fit, bolt, cure, then follow the shrinkage down daily at a set height with rattle-gun pressure — a follow-down, never a push-down. A final coat at 0.25% DBT creates the membrane gasket skin. Measured bulk shrinkage runs 25–100 µm over the multi-day cure — that is what the follow-down consumes.</w:t>
      </w:r>
    </w:p>
    <w:p>
      <w:pPr>
        <w:spacing w:before="0" w:after="140" w:line="300" w:lineRule="auto"/>
        <w:jc w:val="both"/>
      </w:pPr>
      <w:r>
        <w:rPr>
          <w:rFonts w:ascii="Calibri" w:hAnsi="Calibri"/>
          <w:b/>
          <w:color w:val="3A3A3A"/>
          <w:sz w:val="22"/>
          <w:szCs w:val="22"/>
        </w:rPr>
        <w:t xml:space="preserve">The wedge law: </w:t>
      </w:r>
      <w:r>
        <w:rPr>
          <w:rFonts w:ascii="Calibri" w:hAnsi="Calibri"/>
          <w:sz w:val="22"/>
          <w:szCs w:val="22"/>
        </w:rPr>
        <w:t xml:space="preserve">on a curved surface a 15 mm fill gap over one face closes to a smaller gap at a 5 mm surface — as the tiles go in, the gap closes. Bench-measured wedge factors: gap spacing grows ×1.10 at R = 500 mm, ×1.20 at R = 250 mm, ×1.50 at R = 100 mm. The bench must note fill-gap distance at every radius.</w:t>
      </w:r>
    </w:p>
    <w:p>
      <w:pPr>
        <w:spacing w:before="0" w:after="140" w:line="300" w:lineRule="auto"/>
        <w:jc w:val="both"/>
      </w:pPr>
      <w:r>
        <w:rPr>
          <w:rFonts w:ascii="Calibri" w:hAnsi="Calibri"/>
          <w:b/>
          <w:color w:val="3A3A3A"/>
          <w:sz w:val="22"/>
          <w:szCs w:val="22"/>
        </w:rPr>
        <w:t xml:space="preserve">The machine: </w:t>
      </w:r>
      <w:r>
        <w:rPr>
          <w:rFonts w:ascii="Calibri" w:hAnsi="Calibri"/>
          <w:sz w:val="22"/>
          <w:szCs w:val="22"/>
        </w:rPr>
        <w:t xml:space="preserve">a giant lathe, for want of a better description — holding a base internally and rotating it, for coating and high-speed tiling. Small for small craft, larger for the likes of the SpaceX craft, yet lighter than many machines by comparison.</w:t>
      </w:r>
    </w:p>
    <w:p>
      <w:pPr>
        <w:spacing w:before="360" w:after="160" w:line="288" w:lineRule="auto"/>
      </w:pPr>
      <w:r>
        <w:rPr>
          <w:rFonts w:ascii="Calibri" w:hAnsi="Calibri"/>
          <w:b/>
          <w:color w:val="5A6570"/>
          <w:sz w:val="28"/>
          <w:szCs w:val="28"/>
        </w:rPr>
        <w:t xml:space="preserve">4 · The Numbers</w:t>
      </w:r>
    </w:p>
    <w:p>
      <w:pPr>
        <w:spacing w:before="0" w:after="140" w:line="300" w:lineRule="auto"/>
        <w:jc w:val="both"/>
      </w:pPr>
      <w:r>
        <w:rPr>
          <w:rFonts w:ascii="Calibri" w:hAnsi="Calibri"/>
          <w:sz w:val="22"/>
          <w:szCs w:val="22"/>
        </w:rPr>
        <w:t xml:space="preserve">The audit ran the owed ledger. Assumptions stated; every number is a bound or a first-order estimate, and the ones that depend on the Author's materials are flagged as his to set.</w:t>
      </w:r>
    </w:p>
    <w:p>
      <w:pPr>
        <w:spacing w:before="0" w:after="140" w:line="300" w:lineRule="auto"/>
        <w:jc w:val="both"/>
      </w:pPr>
      <w:r>
        <w:rPr>
          <w:rFonts w:ascii="Calibri" w:hAnsi="Calibri"/>
          <w:b/>
          <w:color w:val="3A3A3A"/>
          <w:sz w:val="22"/>
          <w:szCs w:val="22"/>
        </w:rPr>
        <w:t xml:space="preserve">Water capacity: </w:t>
      </w:r>
      <w:r>
        <w:rPr>
          <w:rFonts w:ascii="Calibri" w:hAnsi="Calibri"/>
          <w:sz w:val="22"/>
          <w:szCs w:val="22"/>
        </w:rPr>
        <w:t xml:space="preserve">100 mm of water over a square metre is 100 kg. Warming it from a frozen start to boiling takes ~33.5 MJ; boiling it away takes 226 MJ — call it 260 MJ/m2. The frozen start pays a bonus the first run left on the table (Sitting 697): the latent heat of fusion, 334 kJ/kg, adds ~34 MJ/m2 plus ice warming — true capacity ~297 MJ/m2.</w:t>
      </w:r>
    </w:p>
    <w:p>
      <w:pPr>
        <w:spacing w:before="0" w:after="140" w:line="300" w:lineRule="auto"/>
        <w:jc w:val="both"/>
      </w:pPr>
      <w:r>
        <w:rPr>
          <w:rFonts w:ascii="Calibri" w:hAnsi="Calibri"/>
          <w:b/>
          <w:color w:val="3A3A3A"/>
          <w:sz w:val="22"/>
          <w:szCs w:val="22"/>
        </w:rPr>
        <w:t xml:space="preserve">Boiling regime: </w:t>
      </w:r>
      <w:r>
        <w:rPr>
          <w:rFonts w:ascii="Calibri" w:hAnsi="Calibri"/>
          <w:sz w:val="22"/>
          <w:szCs w:val="22"/>
        </w:rPr>
        <w:t xml:space="preserve">the freeze happens in zero-g, but the fire does not — entry is a 3–5 g deceleration, so boiling during the burn runs under stronger buoyancy than the 1-g ground bench. Test A on the ground is conservative for the fire; the zero-g regime governs only the freeze and the cruise (sublimation), both on the ledger.</w:t>
      </w:r>
    </w:p>
    <w:p>
      <w:pPr>
        <w:spacing w:before="0" w:after="140" w:line="300" w:lineRule="auto"/>
        <w:jc w:val="both"/>
      </w:pPr>
      <w:r>
        <w:rPr>
          <w:rFonts w:ascii="Calibri" w:hAnsi="Calibri"/>
          <w:b/>
          <w:color w:val="3A3A3A"/>
          <w:sz w:val="22"/>
          <w:szCs w:val="22"/>
        </w:rPr>
        <w:t xml:space="preserve">Boil-off floor (the Author's method): </w:t>
      </w:r>
      <w:r>
        <w:rPr>
          <w:rFonts w:ascii="Calibri" w:hAnsi="Calibri"/>
          <w:sz w:val="22"/>
          <w:szCs w:val="22"/>
        </w:rPr>
        <w:t xml:space="preserve">one degree lower than melting the tank is as fast as it can go, times volume. The plate caps conduction at ~1.28 MW/m2 (128 W/cm2); against the full 260 MJ/m2 wet charge that is a boil-off floor of 86–259 seconds at the impossible-worst wall — every square centimetre of the plate at 1,400 °C under an intact coldrock blanket. The real wall is far slower. The tank never sees 660 °C before the water is gone or the thirty minutes are up.</w:t>
      </w:r>
    </w:p>
    <w:p>
      <w:pPr>
        <w:spacing w:before="0" w:after="140" w:line="300" w:lineRule="auto"/>
        <w:jc w:val="both"/>
      </w:pPr>
      <w:r>
        <w:rPr>
          <w:rFonts w:ascii="Calibri" w:hAnsi="Calibri"/>
          <w:b/>
          <w:color w:val="3A3A3A"/>
          <w:sz w:val="22"/>
          <w:szCs w:val="22"/>
        </w:rPr>
        <w:t xml:space="preserve">Sutton-Graves check: </w:t>
      </w:r>
      <w:r>
        <w:rPr>
          <w:rFonts w:ascii="Calibri" w:hAnsi="Calibri"/>
          <w:sz w:val="22"/>
          <w:szCs w:val="22"/>
        </w:rPr>
        <w:t xml:space="preserve">stagnation heating peaks at 95–174 W/cm2 for LEO entries and 218–398 W/cm2 for lunar-return speeds across nose radii 0.3–1.0 m. The face re-radiates ~3.35 MW/m2 (335 W/cm2) at 2,500 °C — the bench's one-face target. Plate conduction and face re-radiation sit in the same band as the fire itself; the coldrock and the water are what make the difference between minutes and survival.</w:t>
      </w:r>
    </w:p>
    <w:p>
      <w:pPr>
        <w:spacing w:before="0" w:after="140" w:line="300" w:lineRule="auto"/>
        <w:jc w:val="both"/>
      </w:pPr>
      <w:r>
        <w:rPr>
          <w:rFonts w:ascii="Calibri" w:hAnsi="Calibri"/>
          <w:b/>
          <w:color w:val="3A3A3A"/>
          <w:sz w:val="22"/>
          <w:szCs w:val="22"/>
        </w:rPr>
        <w:t xml:space="preserve">Bolts vs water: </w:t>
      </w:r>
      <w:r>
        <w:rPr>
          <w:rFonts w:ascii="Calibri" w:hAnsi="Calibri"/>
          <w:sz w:val="22"/>
          <w:szCs w:val="22"/>
        </w:rPr>
        <w:t xml:space="preserve">each 310 bolt carries ~3.6 W down its shank at full sink temperature; ~40 tiles per square metre make ~144 W/m2 against a boiling capacity near a megawatt per square metre. The water copes with the bolts by three orders of magnitude — the ally-fibre designs worked with air as the ambient inside the sink, and water is a far better ambient than air. Coldrock slows everything else for a good portion of the time.</w:t>
      </w:r>
    </w:p>
    <w:p>
      <w:pPr>
        <w:spacing w:before="0" w:after="140" w:line="300" w:lineRule="auto"/>
        <w:jc w:val="both"/>
      </w:pPr>
      <w:r>
        <w:rPr>
          <w:rFonts w:ascii="Calibri" w:hAnsi="Calibri"/>
          <w:b/>
          <w:color w:val="3A3A3A"/>
          <w:sz w:val="22"/>
          <w:szCs w:val="22"/>
        </w:rPr>
        <w:t xml:space="preserve">Degassing: </w:t>
      </w:r>
      <w:r>
        <w:rPr>
          <w:rFonts w:ascii="Calibri" w:hAnsi="Calibri"/>
          <w:sz w:val="22"/>
          <w:szCs w:val="22"/>
        </w:rPr>
        <w:t xml:space="preserve">the membrane liberates 350–580 L/m2 of free-gas equivalent before capture; the coke chamber crushes to make the volume. The beveled outer edge of the outgassing layer — beveled like a train wheel, for direction — ensures outgassing hits the capture point and never breaches the matching edge seal.</w:t>
      </w:r>
    </w:p>
    <w:p>
      <w:pPr>
        <w:spacing w:before="0" w:after="140" w:line="300" w:lineRule="auto"/>
        <w:jc w:val="both"/>
      </w:pPr>
      <w:r>
        <w:rPr>
          <w:rFonts w:ascii="Calibri" w:hAnsi="Calibri"/>
          <w:b/>
          <w:color w:val="3A3A3A"/>
          <w:sz w:val="22"/>
          <w:szCs w:val="22"/>
        </w:rPr>
        <w:t xml:space="preserve">Hold-down: </w:t>
      </w:r>
      <w:r>
        <w:rPr>
          <w:rFonts w:ascii="Calibri" w:hAnsi="Calibri"/>
          <w:sz w:val="22"/>
          <w:szCs w:val="22"/>
        </w:rPr>
        <w:t xml:space="preserve">stagnation pressure 10–50 kPa plus deceleration inertia 25–41 kPa press the shield onto the ship — both act in the same direction. The expansion rail in the slot is the only fixing required. Attach to ship, fill the water layer, freeze it up in space, and go.</w:t>
      </w:r>
    </w:p>
    <w:p>
      <w:pPr>
        <w:spacing w:before="0" w:after="140" w:line="300" w:lineRule="auto"/>
        <w:jc w:val="both"/>
      </w:pPr>
      <w:r>
        <w:rPr>
          <w:rFonts w:ascii="Calibri" w:hAnsi="Calibri"/>
          <w:b/>
          <w:color w:val="3A3A3A"/>
          <w:sz w:val="22"/>
          <w:szCs w:val="22"/>
        </w:rPr>
        <w:t xml:space="preserve">Freeze: </w:t>
      </w:r>
      <w:r>
        <w:rPr>
          <w:rFonts w:ascii="Calibri" w:hAnsi="Calibri"/>
          <w:sz w:val="22"/>
          <w:szCs w:val="22"/>
        </w:rPr>
        <w:t xml:space="preserve">baffles in the tank and a fill set for freeze-expansion volume keep pressure off the walls — beautifully helped by zero-g for uniformity when freezing, and the cruise-guard is the sublimation ledger, not a bleed.</w:t>
      </w:r>
    </w:p>
    <w:p>
      <w:pPr>
        <w:spacing w:before="0" w:after="140" w:line="300" w:lineRule="auto"/>
        <w:jc w:val="both"/>
      </w:pPr>
      <w:r>
        <w:rPr>
          <w:rFonts w:ascii="Calibri" w:hAnsi="Calibri"/>
          <w:b/>
          <w:color w:val="3A3A3A"/>
          <w:sz w:val="22"/>
          <w:szCs w:val="22"/>
        </w:rPr>
        <w:t>Mass ledger:</w:t>
      </w:r>
    </w:p>
    <w:tbl>
      <w:tblPr>
        <w:tblW w:w="5000" w:type="pct"/>
        <w:tblBorders>
          <w:top w:val="single" w:color="5A6570" w:sz="4"/>
          <w:left w:val="single" w:color="5A6570" w:sz="4"/>
          <w:bottom w:val="single" w:color="5A6570" w:sz="4"/>
          <w:right w:val="single" w:color="5A6570" w:sz="4"/>
          <w:insideH w:val="single" w:color="B8C0C8" w:sz="2"/>
          <w:insideV w:val="single" w:color="B8C0C8" w:sz="2"/>
        </w:tblBorders>
      </w:tblPr>
      <w:tblGrid>
        <w:gridCol w:w="2800"/>
        <w:gridCol w:w="1400"/>
        <w:gridCol w:w="4800"/>
      </w:tblGrid>
      <w:tr>
        <w:tc>
          <w:tcPr>
            <w:tcW w:w="2800" w:type="dxa"/>
            <w:shd w:val="clear" w:fill="EFE7D2"/>
          </w:tcPr>
          <w:p>
            <w:pPr>
              <w:spacing w:before="40" w:after="40" w:line="260" w:lineRule="auto"/>
            </w:pPr>
            <w:r>
              <w:rPr>
                <w:rFonts w:ascii="Calibri" w:hAnsi="Calibri"/>
                <w:b/>
                <w:sz w:val="20"/>
                <w:szCs w:val="20"/>
              </w:rPr>
              <w:t xml:space="preserve">Item</w:t>
            </w:r>
          </w:p>
        </w:tc>
        <w:tc>
          <w:tcPr>
            <w:tcW w:w="1400" w:type="dxa"/>
            <w:shd w:val="clear" w:fill="EFE7D2"/>
          </w:tcPr>
          <w:p>
            <w:pPr>
              <w:spacing w:before="40" w:after="40" w:line="260" w:lineRule="auto"/>
            </w:pPr>
            <w:r>
              <w:rPr>
                <w:rFonts w:ascii="Calibri" w:hAnsi="Calibri"/>
                <w:b/>
                <w:sz w:val="20"/>
                <w:szCs w:val="20"/>
              </w:rPr>
              <w:t xml:space="preserve">kg/m2</w:t>
            </w:r>
          </w:p>
        </w:tc>
        <w:tc>
          <w:tcPr>
            <w:tcW w:w="4800" w:type="dxa"/>
            <w:shd w:val="clear" w:fill="EFE7D2"/>
          </w:tcPr>
          <w:p>
            <w:pPr>
              <w:spacing w:before="40" w:after="40" w:line="260" w:lineRule="auto"/>
            </w:pPr>
            <w:r>
              <w:rPr>
                <w:rFonts w:ascii="Calibri" w:hAnsi="Calibri"/>
                <w:b/>
                <w:sz w:val="20"/>
                <w:szCs w:val="20"/>
              </w:rPr>
              <w:t xml:space="preserve">Note</w:t>
            </w:r>
          </w:p>
        </w:tc>
      </w:tr>
      <w:tr>
        <w:tc>
          <w:tcPr>
            <w:tcW w:w="2800" w:type="dxa"/>
          </w:tcPr>
          <w:p>
            <w:pPr>
              <w:spacing w:before="40" w:after="40" w:line="260" w:lineRule="auto"/>
            </w:pPr>
            <w:r>
              <w:rPr>
                <w:rFonts w:ascii="Calibri" w:hAnsi="Calibri"/>
                <w:sz w:val="20"/>
                <w:szCs w:val="20"/>
              </w:rPr>
              <w:t xml:space="preserve">Tiles 50 mm</w:t>
            </w:r>
          </w:p>
        </w:tc>
        <w:tc>
          <w:tcPr>
            <w:tcW w:w="1400" w:type="dxa"/>
          </w:tcPr>
          <w:p>
            <w:pPr>
              <w:spacing w:before="40" w:after="40" w:line="260" w:lineRule="auto"/>
            </w:pPr>
            <w:r>
              <w:rPr>
                <w:rFonts w:ascii="Calibri" w:hAnsi="Calibri"/>
                <w:sz w:val="20"/>
                <w:szCs w:val="20"/>
              </w:rPr>
              <w:t xml:space="preserve">90 kg</w:t>
            </w:r>
          </w:p>
        </w:tc>
        <w:tc>
          <w:tcPr>
            <w:tcW w:w="4800" w:type="dxa"/>
          </w:tcPr>
          <w:p>
            <w:pPr>
              <w:spacing w:before="40" w:after="40" w:line="260" w:lineRule="auto"/>
            </w:pPr>
            <w:r>
              <w:rPr>
                <w:rFonts w:ascii="Calibri" w:hAnsi="Calibri"/>
                <w:sz w:val="20"/>
                <w:szCs w:val="20"/>
              </w:rPr>
              <w:t xml:space="preserve">carbon-silicate ~1.8 g/cc, with seams</w:t>
            </w:r>
          </w:p>
        </w:tc>
      </w:tr>
      <w:tr>
        <w:tc>
          <w:tcPr>
            <w:tcW w:w="2800" w:type="dxa"/>
          </w:tcPr>
          <w:p>
            <w:pPr>
              <w:spacing w:before="40" w:after="40" w:line="260" w:lineRule="auto"/>
            </w:pPr>
            <w:r>
              <w:rPr>
                <w:rFonts w:ascii="Calibri" w:hAnsi="Calibri"/>
                <w:sz w:val="20"/>
                <w:szCs w:val="20"/>
              </w:rPr>
              <w:t xml:space="preserve">Membrane 5 mm</w:t>
            </w:r>
          </w:p>
        </w:tc>
        <w:tc>
          <w:tcPr>
            <w:tcW w:w="1400" w:type="dxa"/>
          </w:tcPr>
          <w:p>
            <w:pPr>
              <w:spacing w:before="40" w:after="40" w:line="260" w:lineRule="auto"/>
            </w:pPr>
            <w:r>
              <w:rPr>
                <w:rFonts w:ascii="Calibri" w:hAnsi="Calibri"/>
                <w:sz w:val="20"/>
                <w:szCs w:val="20"/>
              </w:rPr>
              <w:t xml:space="preserve">6 kg</w:t>
            </w:r>
          </w:p>
        </w:tc>
        <w:tc>
          <w:tcPr>
            <w:tcW w:w="4800" w:type="dxa"/>
          </w:tcPr>
          <w:p>
            <w:pPr>
              <w:spacing w:before="40" w:after="40" w:line="260" w:lineRule="auto"/>
            </w:pPr>
            <w:r>
              <w:rPr>
                <w:rFonts w:ascii="Calibri" w:hAnsi="Calibri"/>
                <w:sz w:val="20"/>
                <w:szCs w:val="20"/>
              </w:rPr>
              <w:t xml:space="preserve">RTV-560 ~1.15 g/cc</w:t>
            </w:r>
          </w:p>
        </w:tc>
      </w:tr>
      <w:tr>
        <w:tc>
          <w:tcPr>
            <w:tcW w:w="2800" w:type="dxa"/>
          </w:tcPr>
          <w:p>
            <w:pPr>
              <w:spacing w:before="40" w:after="40" w:line="260" w:lineRule="auto"/>
            </w:pPr>
            <w:r>
              <w:rPr>
                <w:rFonts w:ascii="Calibri" w:hAnsi="Calibri"/>
                <w:sz w:val="20"/>
                <w:szCs w:val="20"/>
              </w:rPr>
              <w:t xml:space="preserve">Coke chamber</w:t>
            </w:r>
          </w:p>
        </w:tc>
        <w:tc>
          <w:tcPr>
            <w:tcW w:w="1400" w:type="dxa"/>
          </w:tcPr>
          <w:p>
            <w:pPr>
              <w:spacing w:before="40" w:after="40" w:line="260" w:lineRule="auto"/>
            </w:pPr>
            <w:r>
              <w:rPr>
                <w:rFonts w:ascii="Calibri" w:hAnsi="Calibri"/>
                <w:sz w:val="20"/>
                <w:szCs w:val="20"/>
              </w:rPr>
              <w:t xml:space="preserve">55 kg</w:t>
            </w:r>
          </w:p>
        </w:tc>
        <w:tc>
          <w:tcPr>
            <w:tcW w:w="4800" w:type="dxa"/>
          </w:tcPr>
          <w:p>
            <w:pPr>
              <w:spacing w:before="40" w:after="40" w:line="260" w:lineRule="auto"/>
            </w:pPr>
            <w:r>
              <w:rPr>
                <w:rFonts w:ascii="Calibri" w:hAnsi="Calibri"/>
                <w:sz w:val="20"/>
                <w:szCs w:val="20"/>
              </w:rPr>
              <w:t xml:space="preserve">dimension the Author's to set</w:t>
            </w:r>
          </w:p>
        </w:tc>
      </w:tr>
      <w:tr>
        <w:tc>
          <w:tcPr>
            <w:tcW w:w="2800" w:type="dxa"/>
          </w:tcPr>
          <w:p>
            <w:pPr>
              <w:spacing w:before="40" w:after="40" w:line="260" w:lineRule="auto"/>
            </w:pPr>
            <w:r>
              <w:rPr>
                <w:rFonts w:ascii="Calibri" w:hAnsi="Calibri"/>
                <w:sz w:val="20"/>
                <w:szCs w:val="20"/>
              </w:rPr>
              <w:t xml:space="preserve">Coldrock ×2</w:t>
            </w:r>
          </w:p>
        </w:tc>
        <w:tc>
          <w:tcPr>
            <w:tcW w:w="1400" w:type="dxa"/>
          </w:tcPr>
          <w:p>
            <w:pPr>
              <w:spacing w:before="40" w:after="40" w:line="260" w:lineRule="auto"/>
            </w:pPr>
            <w:r>
              <w:rPr>
                <w:rFonts w:ascii="Calibri" w:hAnsi="Calibri"/>
                <w:sz w:val="20"/>
                <w:szCs w:val="20"/>
              </w:rPr>
              <w:t xml:space="preserve">15 kg</w:t>
            </w:r>
          </w:p>
        </w:tc>
        <w:tc>
          <w:tcPr>
            <w:tcW w:w="4800" w:type="dxa"/>
          </w:tcPr>
          <w:p>
            <w:pPr>
              <w:spacing w:before="40" w:after="40" w:line="260" w:lineRule="auto"/>
            </w:pPr>
            <w:r>
              <w:rPr>
                <w:rFonts w:ascii="Calibri" w:hAnsi="Calibri"/>
                <w:sz w:val="20"/>
                <w:szCs w:val="20"/>
              </w:rPr>
              <w:t xml:space="preserve">project density to confirm</w:t>
            </w:r>
          </w:p>
        </w:tc>
      </w:tr>
      <w:tr>
        <w:tc>
          <w:tcPr>
            <w:tcW w:w="2800" w:type="dxa"/>
          </w:tcPr>
          <w:p>
            <w:pPr>
              <w:spacing w:before="40" w:after="40" w:line="260" w:lineRule="auto"/>
            </w:pPr>
            <w:r>
              <w:rPr>
                <w:rFonts w:ascii="Calibri" w:hAnsi="Calibri"/>
                <w:sz w:val="20"/>
                <w:szCs w:val="20"/>
              </w:rPr>
              <w:t xml:space="preserve">Aluminium sink 60 mm</w:t>
            </w:r>
          </w:p>
        </w:tc>
        <w:tc>
          <w:tcPr>
            <w:tcW w:w="1400" w:type="dxa"/>
          </w:tcPr>
          <w:p>
            <w:pPr>
              <w:spacing w:before="40" w:after="40" w:line="260" w:lineRule="auto"/>
            </w:pPr>
            <w:r>
              <w:rPr>
                <w:rFonts w:ascii="Calibri" w:hAnsi="Calibri"/>
                <w:sz w:val="20"/>
                <w:szCs w:val="20"/>
              </w:rPr>
              <w:t xml:space="preserve">162 kg</w:t>
            </w:r>
          </w:p>
        </w:tc>
        <w:tc>
          <w:tcPr>
            <w:tcW w:w="4800" w:type="dxa"/>
          </w:tcPr>
          <w:p>
            <w:pPr>
              <w:spacing w:before="40" w:after="40" w:line="260" w:lineRule="auto"/>
            </w:pPr>
            <w:r>
              <w:rPr>
                <w:rFonts w:ascii="Calibri" w:hAnsi="Calibri"/>
                <w:sz w:val="20"/>
                <w:szCs w:val="20"/>
              </w:rPr>
              <w:t xml:space="preserve">2.70 g/cc</w:t>
            </w:r>
          </w:p>
        </w:tc>
      </w:tr>
      <w:tr>
        <w:tc>
          <w:tcPr>
            <w:tcW w:w="2800" w:type="dxa"/>
          </w:tcPr>
          <w:p>
            <w:pPr>
              <w:spacing w:before="40" w:after="40" w:line="260" w:lineRule="auto"/>
            </w:pPr>
            <w:r>
              <w:rPr>
                <w:rFonts w:ascii="Calibri" w:hAnsi="Calibri"/>
                <w:sz w:val="20"/>
                <w:szCs w:val="20"/>
              </w:rPr>
              <w:t xml:space="preserve">309 top plate 10 mm</w:t>
            </w:r>
          </w:p>
        </w:tc>
        <w:tc>
          <w:tcPr>
            <w:tcW w:w="1400" w:type="dxa"/>
          </w:tcPr>
          <w:p>
            <w:pPr>
              <w:spacing w:before="40" w:after="40" w:line="260" w:lineRule="auto"/>
            </w:pPr>
            <w:r>
              <w:rPr>
                <w:rFonts w:ascii="Calibri" w:hAnsi="Calibri"/>
                <w:sz w:val="20"/>
                <w:szCs w:val="20"/>
              </w:rPr>
              <w:t xml:space="preserve">79 kg</w:t>
            </w:r>
          </w:p>
        </w:tc>
        <w:tc>
          <w:tcPr>
            <w:tcW w:w="4800" w:type="dxa"/>
          </w:tcPr>
          <w:p>
            <w:pPr>
              <w:spacing w:before="40" w:after="40" w:line="260" w:lineRule="auto"/>
            </w:pPr>
            <w:r>
              <w:rPr>
                <w:rFonts w:ascii="Calibri" w:hAnsi="Calibri"/>
                <w:sz w:val="20"/>
                <w:szCs w:val="20"/>
              </w:rPr>
              <w:t xml:space="preserve">upper plate + bolt anchor (Sitting 699)</w:t>
            </w:r>
          </w:p>
        </w:tc>
      </w:tr>
      <w:tr>
        <w:tc>
          <w:tcPr>
            <w:tcW w:w="2800" w:type="dxa"/>
          </w:tcPr>
          <w:p>
            <w:pPr>
              <w:spacing w:before="40" w:after="40" w:line="260" w:lineRule="auto"/>
            </w:pPr>
            <w:r>
              <w:rPr>
                <w:rFonts w:ascii="Calibri" w:hAnsi="Calibri"/>
                <w:sz w:val="20"/>
                <w:szCs w:val="20"/>
              </w:rPr>
              <w:t xml:space="preserve">Water 100 mm</w:t>
            </w:r>
          </w:p>
        </w:tc>
        <w:tc>
          <w:tcPr>
            <w:tcW w:w="1400" w:type="dxa"/>
          </w:tcPr>
          <w:p>
            <w:pPr>
              <w:spacing w:before="40" w:after="40" w:line="260" w:lineRule="auto"/>
            </w:pPr>
            <w:r>
              <w:rPr>
                <w:rFonts w:ascii="Calibri" w:hAnsi="Calibri"/>
                <w:sz w:val="20"/>
                <w:szCs w:val="20"/>
              </w:rPr>
              <w:t xml:space="preserve">100 kg</w:t>
            </w:r>
          </w:p>
        </w:tc>
        <w:tc>
          <w:tcPr>
            <w:tcW w:w="4800" w:type="dxa"/>
          </w:tcPr>
          <w:p>
            <w:pPr>
              <w:spacing w:before="40" w:after="40" w:line="260" w:lineRule="auto"/>
            </w:pPr>
            <w:r>
              <w:rPr>
                <w:rFonts w:ascii="Calibri" w:hAnsi="Calibri"/>
                <w:sz w:val="20"/>
                <w:szCs w:val="20"/>
              </w:rPr>
              <w:t xml:space="preserve">the working fluid</w:t>
            </w:r>
          </w:p>
        </w:tc>
      </w:tr>
      <w:tr>
        <w:tc>
          <w:tcPr>
            <w:tcW w:w="2800" w:type="dxa"/>
          </w:tcPr>
          <w:p>
            <w:pPr>
              <w:spacing w:before="40" w:after="40" w:line="260" w:lineRule="auto"/>
            </w:pPr>
            <w:r>
              <w:rPr>
                <w:rFonts w:ascii="Calibri" w:hAnsi="Calibri"/>
                <w:sz w:val="20"/>
                <w:szCs w:val="20"/>
              </w:rPr>
              <w:t xml:space="preserve">Ally tank walls + base 6 mm</w:t>
            </w:r>
          </w:p>
        </w:tc>
        <w:tc>
          <w:tcPr>
            <w:tcW w:w="1400" w:type="dxa"/>
          </w:tcPr>
          <w:p>
            <w:pPr>
              <w:spacing w:before="40" w:after="40" w:line="260" w:lineRule="auto"/>
            </w:pPr>
            <w:r>
              <w:rPr>
                <w:rFonts w:ascii="Calibri" w:hAnsi="Calibri"/>
                <w:sz w:val="20"/>
                <w:szCs w:val="20"/>
              </w:rPr>
              <w:t xml:space="preserve">~20 kg</w:t>
            </w:r>
          </w:p>
        </w:tc>
        <w:tc>
          <w:tcPr>
            <w:tcW w:w="4800" w:type="dxa"/>
          </w:tcPr>
          <w:p>
            <w:pPr>
              <w:spacing w:before="40" w:after="40" w:line="260" w:lineRule="auto"/>
            </w:pPr>
            <w:r>
              <w:rPr>
                <w:rFonts w:ascii="Calibri" w:hAnsi="Calibri"/>
                <w:sz w:val="20"/>
                <w:szCs w:val="20"/>
              </w:rPr>
              <w:t xml:space="preserve">containment shell built around the skeleton (Sitting 699)</w:t>
            </w:r>
          </w:p>
        </w:tc>
      </w:tr>
      <w:tr>
        <w:tc>
          <w:tcPr>
            <w:tcW w:w="2800" w:type="dxa"/>
          </w:tcPr>
          <w:p>
            <w:pPr>
              <w:spacing w:before="40" w:after="40" w:line="260" w:lineRule="auto"/>
            </w:pPr>
            <w:r>
              <w:rPr>
                <w:rFonts w:ascii="Calibri" w:hAnsi="Calibri"/>
                <w:sz w:val="20"/>
                <w:szCs w:val="20"/>
              </w:rPr>
              <w:t xml:space="preserve">Stainless frame: braces + baffles</w:t>
            </w:r>
          </w:p>
        </w:tc>
        <w:tc>
          <w:tcPr>
            <w:tcW w:w="1400" w:type="dxa"/>
          </w:tcPr>
          <w:p>
            <w:pPr>
              <w:spacing w:before="40" w:after="40" w:line="260" w:lineRule="auto"/>
            </w:pPr>
            <w:r>
              <w:rPr>
                <w:rFonts w:ascii="Calibri" w:hAnsi="Calibri"/>
                <w:sz w:val="20"/>
                <w:szCs w:val="20"/>
              </w:rPr>
              <w:t xml:space="preserve">~15 kg</w:t>
            </w:r>
          </w:p>
        </w:tc>
        <w:tc>
          <w:tcPr>
            <w:tcW w:w="4800" w:type="dxa"/>
          </w:tcPr>
          <w:p>
            <w:pPr>
              <w:spacing w:before="40" w:after="40" w:line="260" w:lineRule="auto"/>
            </w:pPr>
            <w:r>
              <w:rPr>
                <w:rFonts w:ascii="Calibri" w:hAnsi="Calibri"/>
                <w:sz w:val="20"/>
                <w:szCs w:val="20"/>
              </w:rPr>
              <w:t xml:space="preserve">skeleton allowance (Sitting 699)</w:t>
            </w:r>
          </w:p>
        </w:tc>
      </w:tr>
      <w:tr>
        <w:tc>
          <w:tcPr>
            <w:tcW w:w="2800" w:type="dxa"/>
          </w:tcPr>
          <w:p>
            <w:pPr>
              <w:spacing w:before="40" w:after="40" w:line="260" w:lineRule="auto"/>
            </w:pPr>
            <w:r>
              <w:rPr>
                <w:rFonts w:ascii="Calibri" w:hAnsi="Calibri"/>
                <w:sz w:val="20"/>
                <w:szCs w:val="20"/>
              </w:rPr>
              <w:t xml:space="preserve">Seal plate 5 mm</w:t>
            </w:r>
          </w:p>
        </w:tc>
        <w:tc>
          <w:tcPr>
            <w:tcW w:w="1400" w:type="dxa"/>
          </w:tcPr>
          <w:p>
            <w:pPr>
              <w:spacing w:before="40" w:after="40" w:line="260" w:lineRule="auto"/>
            </w:pPr>
            <w:r>
              <w:rPr>
                <w:rFonts w:ascii="Calibri" w:hAnsi="Calibri"/>
                <w:sz w:val="20"/>
                <w:szCs w:val="20"/>
              </w:rPr>
              <w:t xml:space="preserve">40 kg</w:t>
            </w:r>
          </w:p>
        </w:tc>
        <w:tc>
          <w:tcPr>
            <w:tcW w:w="4800" w:type="dxa"/>
          </w:tcPr>
          <w:p>
            <w:pPr>
              <w:spacing w:before="40" w:after="40" w:line="260" w:lineRule="auto"/>
            </w:pPr>
            <w:r>
              <w:rPr>
                <w:rFonts w:ascii="Calibri" w:hAnsi="Calibri"/>
                <w:sz w:val="20"/>
                <w:szCs w:val="20"/>
              </w:rPr>
              <w:t xml:space="preserve">stainless</w:t>
            </w:r>
          </w:p>
        </w:tc>
      </w:tr>
      <w:tr>
        <w:tc>
          <w:tcPr>
            <w:tcW w:w="2800" w:type="dxa"/>
          </w:tcPr>
          <w:p>
            <w:pPr>
              <w:spacing w:before="40" w:after="40" w:line="260" w:lineRule="auto"/>
            </w:pPr>
            <w:r>
              <w:rPr>
                <w:rFonts w:ascii="Calibri" w:hAnsi="Calibri"/>
                <w:sz w:val="20"/>
                <w:szCs w:val="20"/>
              </w:rPr>
              <w:t xml:space="preserve">Rails + pins</w:t>
            </w:r>
          </w:p>
        </w:tc>
        <w:tc>
          <w:tcPr>
            <w:tcW w:w="1400" w:type="dxa"/>
          </w:tcPr>
          <w:p>
            <w:pPr>
              <w:spacing w:before="40" w:after="40" w:line="260" w:lineRule="auto"/>
            </w:pPr>
            <w:r>
              <w:rPr>
                <w:rFonts w:ascii="Calibri" w:hAnsi="Calibri"/>
                <w:sz w:val="20"/>
                <w:szCs w:val="20"/>
              </w:rPr>
              <w:t xml:space="preserve">10 kg</w:t>
            </w:r>
          </w:p>
        </w:tc>
        <w:tc>
          <w:tcPr>
            <w:tcW w:w="4800" w:type="dxa"/>
          </w:tcPr>
          <w:p>
            <w:pPr>
              <w:spacing w:before="40" w:after="40" w:line="260" w:lineRule="auto"/>
            </w:pPr>
            <w:r>
              <w:rPr>
                <w:rFonts w:ascii="Calibri" w:hAnsi="Calibri"/>
                <w:sz w:val="20"/>
                <w:szCs w:val="20"/>
              </w:rPr>
              <w:t xml:space="preserve">allowance</w:t>
            </w:r>
          </w:p>
        </w:tc>
      </w:tr>
      <w:tr>
        <w:tc>
          <w:tcPr>
            <w:tcW w:w="2800" w:type="dxa"/>
          </w:tcPr>
          <w:p>
            <w:pPr>
              <w:spacing w:before="40" w:after="40" w:line="260" w:lineRule="auto"/>
            </w:pPr>
            <w:r>
              <w:rPr>
                <w:rFonts w:ascii="Calibri" w:hAnsi="Calibri"/>
                <w:sz w:val="20"/>
                <w:szCs w:val="20"/>
              </w:rPr>
              <w:t xml:space="preserve">TOTAL</w:t>
            </w:r>
          </w:p>
        </w:tc>
        <w:tc>
          <w:tcPr>
            <w:tcW w:w="1400" w:type="dxa"/>
          </w:tcPr>
          <w:p>
            <w:pPr>
              <w:spacing w:before="40" w:after="40" w:line="260" w:lineRule="auto"/>
            </w:pPr>
            <w:r>
              <w:rPr>
                <w:rFonts w:ascii="Calibri" w:hAnsi="Calibri"/>
                <w:sz w:val="20"/>
                <w:szCs w:val="20"/>
              </w:rPr>
              <w:t xml:space="preserve">~590 kg/m2</w:t>
            </w:r>
          </w:p>
        </w:tc>
        <w:tc>
          <w:tcPr>
            <w:tcW w:w="4800" w:type="dxa"/>
          </w:tcPr>
          <w:p>
            <w:pPr>
              <w:spacing w:before="40" w:after="40" w:line="260" w:lineRule="auto"/>
            </w:pPr>
            <w:r>
              <w:rPr>
                <w:rFonts w:ascii="Calibri" w:hAnsi="Calibri"/>
                <w:sz w:val="20"/>
                <w:szCs w:val="20"/>
              </w:rPr>
              <w:t xml:space="preserve">Orion ~49; Starship class ~70</w:t>
            </w:r>
          </w:p>
        </w:tc>
      </w:tr>
    </w:tbl>
    <w:p>
      <w:pPr>
        <w:spacing w:before="0" w:after="120" w:line="288" w:lineRule="auto"/>
      </w:pPr>
      <w:r>
        <w:rPr>
          <w:rFonts w:ascii="Calibri" w:hAnsi="Calibri"/>
          <w:sz w:val="22"/>
          <w:szCs w:val="22"/>
        </w:rPr>
        <w:t xml:space="preserve"/>
      </w:r>
    </w:p>
    <w:p>
      <w:pPr>
        <w:spacing w:before="0" w:after="140" w:line="300" w:lineRule="auto"/>
        <w:jc w:val="both"/>
      </w:pPr>
      <w:r>
        <w:rPr>
          <w:rFonts w:ascii="Calibri" w:hAnsi="Calibri"/>
          <w:sz w:val="22"/>
          <w:szCs w:val="22"/>
        </w:rPr>
        <w:t xml:space="preserve">The price is stated openly: a shield you service at ~590 kg/m2 against shields you worship at one-fifteenth the mass. The 30 mm solid-wall interpretation is retired — the Author seated the build-around shell at Sitting 699. One geometry question rides to the bench: the 20 mm melt-dam collar seated in a 10 mm plate stands ten proud, or the plate bosses locally at the bolt holes — his ruling settles it. The ledger prices; the master rules.</w:t>
      </w:r>
    </w:p>
    <w:p>
      <w:pPr>
        <w:spacing w:before="360" w:after="160" w:line="288" w:lineRule="auto"/>
      </w:pPr>
      <w:r>
        <w:rPr>
          <w:rFonts w:ascii="Calibri" w:hAnsi="Calibri"/>
          <w:b/>
          <w:color w:val="5A6570"/>
          <w:sz w:val="28"/>
          <w:szCs w:val="28"/>
        </w:rPr>
        <w:t xml:space="preserve">5 · The Service Cycle</w:t>
      </w:r>
    </w:p>
    <w:p>
      <w:pPr>
        <w:spacing w:before="0" w:after="140" w:line="300" w:lineRule="auto"/>
        <w:jc w:val="both"/>
      </w:pPr>
      <w:r>
        <w:rPr>
          <w:rFonts w:ascii="Calibri" w:hAnsi="Calibri"/>
          <w:sz w:val="22"/>
          <w:szCs w:val="22"/>
        </w:rPr>
        <w:t xml:space="preserve">Land. Remove. Undo the bolts. De-skin the tiles and membrane. Send the tiles for cleaning — fly a new set now or wait for the clean. Remove the degass layer and replace the coke — the oil change. Every bolt goes through X-ray and caliper thread checks. Any aluminium melt or spread at a collar is restored with a centering template, weld, and re-hole. The tank gets its baffles inspected and its freeze-expansion ullage verified, is refilled, refrozen in zero-g, and the shield slides back onto the rails.</w:t>
      </w:r>
    </w:p>
    <w:p>
      <w:pPr>
        <w:spacing w:before="0" w:after="140" w:line="300" w:lineRule="auto"/>
        <w:ind w:left="576"/>
        <w:jc w:val="both"/>
      </w:pPr>
      <w:r>
        <w:rPr>
          <w:rFonts w:ascii="Calibri" w:hAnsi="Calibri"/>
          <w:i/>
          <w:color w:val="3A3A3A"/>
          <w:sz w:val="22"/>
          <w:szCs w:val="22"/>
        </w:rPr>
        <w:t xml:space="preserve">Our membrane is really just a gasket, the coke is our oil change, the water the radiator. Our shield is a living engine — that's why it works.</w:t>
      </w:r>
    </w:p>
    <w:p>
      <w:pPr>
        <w:spacing w:before="0" w:after="140" w:line="300" w:lineRule="auto"/>
        <w:jc w:val="both"/>
      </w:pPr>
      <w:r>
        <w:rPr>
          <w:rFonts w:ascii="Calibri" w:hAnsi="Calibri"/>
          <w:b/>
          <w:color w:val="3A3A3A"/>
          <w:sz w:val="22"/>
          <w:szCs w:val="22"/>
        </w:rPr>
        <w:t>The name: Quinn's Living Engine Heat Shield. It is serviced, not worshipped.</w:t>
      </w:r>
    </w:p>
    <w:p>
      <w:pPr>
        <w:spacing w:before="360" w:after="160" w:line="288" w:lineRule="auto"/>
      </w:pPr>
      <w:r>
        <w:rPr>
          <w:rFonts w:ascii="Calibri" w:hAnsi="Calibri"/>
          <w:b/>
          <w:color w:val="5A6570"/>
          <w:sz w:val="28"/>
          <w:szCs w:val="28"/>
        </w:rPr>
        <w:t xml:space="preserve">6 · The Bench</w:t>
      </w:r>
    </w:p>
    <w:p>
      <w:pPr>
        <w:spacing w:before="0" w:after="140" w:line="300" w:lineRule="auto"/>
        <w:jc w:val="both"/>
      </w:pPr>
      <w:r>
        <w:rPr>
          <w:rFonts w:ascii="Calibri" w:hAnsi="Calibri"/>
          <w:sz w:val="22"/>
          <w:szCs w:val="22"/>
        </w:rPr>
        <w:t xml:space="preserve">What remains is not math — it is hardware. The owed ledger, in order:</w:t>
      </w:r>
    </w:p>
    <w:p>
      <w:pPr>
        <w:spacing w:before="0" w:after="100" w:line="300" w:lineRule="auto"/>
        <w:ind w:left="432"/>
      </w:pPr>
      <w:r>
        <w:rPr>
          <w:rFonts w:ascii="Calibri" w:hAnsi="Calibri"/>
          <w:b/>
          <w:color w:val="D9A82E"/>
          <w:sz w:val="22"/>
          <w:szCs w:val="22"/>
        </w:rPr>
        <w:t xml:space="preserve">• Test A — one face to 2,500 °C, time-to-boil on the far side of a wet tank. The Author's prediction is on the record: halfway or later versus the no-sink control.</w:t>
      </w:r>
    </w:p>
    <w:p>
      <w:pPr>
        <w:spacing w:before="0" w:after="100" w:line="300" w:lineRule="auto"/>
        <w:ind w:left="432"/>
      </w:pPr>
      <w:r>
        <w:rPr>
          <w:rFonts w:ascii="Calibri" w:hAnsi="Calibri"/>
          <w:b/>
          <w:color w:val="D9A82E"/>
          <w:sz w:val="22"/>
          <w:szCs w:val="22"/>
        </w:rPr>
        <w:t xml:space="preserve">• Test B — the control: oxy-cut through the full stack with no sink, timing every layer, so Test A has its denominator.</w:t>
      </w:r>
    </w:p>
    <w:p>
      <w:pPr>
        <w:spacing w:before="0" w:after="100" w:line="300" w:lineRule="auto"/>
        <w:ind w:left="432"/>
      </w:pPr>
      <w:r>
        <w:rPr>
          <w:rFonts w:ascii="Calibri" w:hAnsi="Calibri"/>
          <w:b/>
          <w:color w:val="D9A82E"/>
          <w:sz w:val="22"/>
          <w:szCs w:val="22"/>
        </w:rPr>
        <w:t xml:space="preserve">• Degassing-chamber dimension — the Class Two sizing law is written; the thickness number is the Author's to dictate.</w:t>
      </w:r>
    </w:p>
    <w:p>
      <w:pPr>
        <w:spacing w:before="0" w:after="100" w:line="300" w:lineRule="auto"/>
        <w:ind w:left="432"/>
      </w:pPr>
      <w:r>
        <w:rPr>
          <w:rFonts w:ascii="Calibri" w:hAnsi="Calibri"/>
          <w:b/>
          <w:color w:val="D9A82E"/>
          <w:sz w:val="22"/>
          <w:szCs w:val="22"/>
        </w:rPr>
        <w:t xml:space="preserve">• Coldrock project density — confirm and the mass ledger tightens (4).</w:t>
      </w:r>
    </w:p>
    <w:p>
      <w:pPr>
        <w:spacing w:before="0" w:after="100" w:line="300" w:lineRule="auto"/>
        <w:ind w:left="432"/>
      </w:pPr>
      <w:r>
        <w:rPr>
          <w:rFonts w:ascii="Calibri" w:hAnsi="Calibri"/>
          <w:b/>
          <w:color w:val="D9A82E"/>
          <w:sz w:val="22"/>
          <w:szCs w:val="22"/>
        </w:rPr>
        <w:t xml:space="preserve">• Tank build-around details — the plate-to-wall seal method, and the collar-to-plate geometry (20 mm collar, 10 mm plate: ten stands proud or the plate bosses locally) — the Author's rulings (Sitting 699).</w:t>
      </w:r>
    </w:p>
    <w:p>
      <w:pPr>
        <w:spacing w:before="0" w:after="100" w:line="300" w:lineRule="auto"/>
        <w:ind w:left="432"/>
      </w:pPr>
      <w:r>
        <w:rPr>
          <w:rFonts w:ascii="Calibri" w:hAnsi="Calibri"/>
          <w:b/>
          <w:color w:val="D9A82E"/>
          <w:sz w:val="22"/>
          <w:szCs w:val="22"/>
        </w:rPr>
        <w:t xml:space="preserve">• Forge process verification for ship-made tiles — the manufacturing claim earns its own bench (external review credited, Sitting 697).</w:t>
      </w:r>
    </w:p>
    <w:p>
      <w:pPr>
        <w:spacing w:before="0" w:after="200" w:line="288" w:lineRule="auto"/>
      </w:pPr>
      <w:r>
        <w:rPr>
          <w:rFonts w:ascii="Calibri" w:hAnsi="Calibri"/>
          <w:sz w:val="22"/>
          <w:szCs w:val="22"/>
        </w:rPr>
        <w:t xml:space="preserve"/>
      </w:r>
    </w:p>
    <w:p>
      <w:pPr>
        <w:spacing w:before="0" w:after="60" w:line="288" w:lineRule="auto"/>
        <w:jc w:val="center"/>
      </w:pPr>
      <w:r>
        <w:rPr>
          <w:rFonts w:ascii="Calibri" w:hAnsi="Calibri"/>
          <w:b/>
          <w:color w:val="1B1B1B"/>
          <w:sz w:val="20"/>
          <w:szCs w:val="20"/>
        </w:rPr>
        <w:t xml:space="preserve">PRIMARY AUTHOR &amp; INVENTOR: ARCHER QUINN — Aerospace Design Engineer, NPhD</w:t>
      </w:r>
    </w:p>
    <w:p>
      <w:pPr>
        <w:spacing w:before="0" w:after="60" w:line="288" w:lineRule="auto"/>
        <w:jc w:val="center"/>
      </w:pPr>
      <w:r>
        <w:rPr>
          <w:rFonts w:ascii="Calibri" w:hAnsi="Calibri"/>
          <w:color w:val="5A6570"/>
          <w:sz w:val="18"/>
          <w:szCs w:val="18"/>
        </w:rPr>
        <w:t xml:space="preserve">CO-ENGINEERS: GEMINI 1 AI · KIMI CHAT (THE AUDIT)</w:t>
      </w:r>
    </w:p>
    <w:p>
      <w:pPr>
        <w:spacing w:before="0" w:after="160" w:line="288" w:lineRule="auto"/>
        <w:jc w:val="center"/>
      </w:pPr>
      <w:r>
        <w:rPr>
          <w:rFonts w:ascii="Calibri" w:hAnsi="Calibri"/>
          <w:color w:val="5A6570"/>
          <w:sz w:val="18"/>
          <w:szCs w:val="18"/>
        </w:rPr>
        <w:t xml:space="preserve">LICENSE: CERN OPEN HARDWARE LICENCE v2 (CERN-OHL-W-2.0)</w:t>
      </w:r>
    </w:p>
    <w:p>
      <w:pPr>
        <w:spacing w:before="0" w:after="60" w:line="288" w:lineRule="auto"/>
        <w:jc w:val="center"/>
      </w:pPr>
      <w:r>
        <w:rPr>
          <w:rFonts w:ascii="Calibri" w:hAnsi="Calibri"/>
          <w:i/>
          <w:color w:val="2E7D4F"/>
          <w:sz w:val="18"/>
          <w:szCs w:val="18"/>
        </w:rPr>
        <w:t xml:space="preserve">Seated 30 August 2026 — Revision v1.2 — Sittings 676–699; master 22,875 blocks; addenda through 923.</w:t>
      </w:r>
    </w:p>
    <w:p>
      <w:pPr>
        <w:spacing w:before="0" w:after="60" w:line="288" w:lineRule="auto"/>
        <w:jc w:val="center"/>
      </w:pPr>
      <w:r>
        <w:rPr>
          <w:rFonts w:ascii="Calibri" w:hAnsi="Calibri"/>
          <w:b/>
          <w:color w:val="2E7D4F"/>
          <w:sz w:val="20"/>
          <w:szCs w:val="20"/>
        </w:rPr>
        <w:t xml:space="preserve">Fck you Grandad — we did it anyway.</w:t>
      </w:r>
    </w:p>
    <w:sectPr>
      <w:headerReference w:type="default" r:id="R52b295bd100f4425"/>
      <w:footerReference w:type="default" r:id="R387fa0c764684d89"/>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rFonts w:ascii="Calibri" w:hAnsi="Calibri"/>
        <w:color w:val="5A6570"/>
        <w:sz w:val="16"/>
      </w:rPr>
      <w:fldChar w:fldCharType="begin"/>
    </w:r>
    <w:r>
      <w:rPr>
        <w:rFonts w:ascii="Calibri" w:hAnsi="Calibri"/>
        <w:color w:val="5A6570"/>
        <w:sz w:val="16"/>
      </w:rPr>
      <w:instrText xml:space="preserve"> PAGE </w:instrText>
    </w:r>
    <w:r>
      <w:rPr>
        <w:rFonts w:ascii="Calibri" w:hAnsi="Calibri"/>
        <w:color w:val="5A6570"/>
        <w:sz w:val="16"/>
      </w:rPr>
      <w:fldChar w:fldCharType="end"/>
    </w:r>
  </w:p>
</w:ftr>
</file>

<file path=word/header1.xml><?xml version="1.0" encoding="utf-8"?>
<w:hdr xmlns:w="http://schemas.openxmlformats.org/wordprocessingml/2006/main">
  <w:p>
    <w:pPr>
      <w:spacing w:before="0" w:after="0" w:line="288" w:lineRule="auto"/>
      <w:jc w:val="center"/>
    </w:pPr>
    <w:r>
      <w:rPr>
        <w:rFonts w:ascii="Calibri" w:hAnsi="Calibri"/>
        <w:b/>
        <w:color w:val="5A6570"/>
        <w:sz w:val="16"/>
        <w:szCs w:val="16"/>
      </w:rPr>
      <w:t xml:space="preserve">THE GEMINI PROTOCOLS</w:t>
    </w:r>
    <w:r>
      <w:rPr>
        <w:rFonts w:ascii="Calibri" w:hAnsi="Calibri"/>
        <w:color w:val="5A6570"/>
        <w:sz w:val="16"/>
        <w:szCs w:val="16"/>
      </w:rPr>
      <w:t xml:space="preserve">   ·   GP-IM-301 · The Living Engine Heat Shield</w:t>
    </w:r>
  </w:p>
</w:hdr>
</file>

<file path=word/styles.xml><?xml version="1.0" encoding="utf-8"?>
<w:styles xmlns:w="http://schemas.openxmlformats.org/wordprocessingml/2006/main">
  <w:style w:type="paragraph" w:styleId="Normal" w:default="true">
    <w:name w:val="Normal"/>
    <w:rPr>
      <w:rFonts w:ascii="Calibri" w:hAnsi="Calibri"/>
      <w:color w:val="1B1B1B"/>
      <w:sz w:val="22"/>
    </w:rPr>
  </w:style>
</w:styles>
</file>

<file path=word/_rels/document.xml.rels><?xml version='1.0' encoding='UTF-8' standalone='yes'?>
<Relationships xmlns="http://schemas.openxmlformats.org/package/2006/relationships"><Relationship Id="R377ccf15e3e34c06" Type="http://schemas.openxmlformats.org/officeDocument/2006/relationships/styles" Target="styles.xml"/><Relationship Id="R52b295bd100f4425" Type="http://schemas.openxmlformats.org/officeDocument/2006/relationships/header" Target="header1.xml"/><Relationship Id="R387fa0c764684d89" Type="http://schemas.openxmlformats.org/officeDocument/2006/relationships/footer" Target="footer1.xml"/><Relationship Id="R7b5a4a141e144eff" Type="http://schemas.openxmlformats.org/officeDocument/2006/relationships/image" Target="media/image.png"/></Relationships>
</file>