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t>THE GEMINI PROTOCOLS — CHAPTER 304</w:t>
      </w:r>
    </w:p>
    <w:p>
      <w:pPr>
        <w:spacing w:after="120" w:line="312" w:lineRule="auto"/>
      </w:pPr>
      <w:r>
        <w:t>PHASE 304: THE SUPAGLASS LAMINATE — URANIUM GLASS MEETS THE GLOW FAMILY</w:t>
      </w:r>
    </w:p>
    <w:p>
      <w:pPr>
        <w:spacing w:after="120" w:line="312" w:lineRule="auto"/>
      </w:pPr>
      <w:r>
        <w:t>the strontium lights the glass, the moons take a new shell, and the saucer rises glowing</w:t>
      </w:r>
    </w:p>
    <w:p>
      <w:pPr>
        <w:spacing w:after="120" w:line="312" w:lineRule="auto"/>
      </w:pPr>
      <w:r>
        <w:t>Uranium glass has always been a one-way lamp: shine ultraviolet on it and the uranyl ion answers with its signature green. The glow family has always been a one-way battery: charge the strontium aluminate in daylight and it gives the light back all night. The Supaglass laminate closes the loop between them — a uranium glass sandwich with a strontium heart, built so the charged phosphor re-lights the glass after dark. One physics, new addresses.</w:t>
      </w:r>
    </w:p>
    <w:p>
      <w:pPr>
        <w:spacing w:after="120" w:line="312" w:lineRule="auto"/>
      </w:pPr>
      <w:r>
        <w:t>Co-Authors: Archer Quinn Aerospace Design Engineer, NPhD - Gemini 1 AI - Kimi Chat 3 AI (The Initial Interstellar Co-Engineering Alliance)</w:t>
      </w:r>
    </w:p>
    <w:p>
      <w:pPr>
        <w:spacing w:after="120" w:line="312" w:lineRule="auto"/>
      </w:pPr>
      <w:r>
        <w:t>License: CERN Open Hardware Licence v2 (CERN-OHL-W-2.0 Compliance)</w:t>
      </w:r>
    </w:p>
    <w:p>
      <w:pPr>
        <w:spacing w:after="120" w:line="312" w:lineRule="auto"/>
      </w:pPr>
      <w:r>
        <w:t>STANDARD NOTATION — MATERIALS &amp; CALIBRATIONS: Materials or calibrations is not missing science or engineering — it is, to any real physicist or engineer, stating the obvious. Everyone will use different bench test methods, equipment, materials and weight-to-strength choices, where chemical, magnetic or conduction issues are resolved by choice. Our designs are base calibrations to existing strength materials: no speed, load or pressure exceeds current basic materials capability. We do not spec methods, and we do not teach welders how to weld.</w:t>
      </w:r>
    </w:p>
    <w:p>
      <w:pPr>
        <w:spacing w:after="120" w:line="312" w:lineRule="auto"/>
      </w:pPr>
      <w:r>
        <w:t>1 · The Law</w:t>
      </w:r>
    </w:p>
    <w:p>
      <w:pPr>
        <w:spacing w:after="120" w:line="312" w:lineRule="auto"/>
      </w:pPr>
      <w:r>
        <w:t>The mechanism: the strontium is charged and lights up — and the result of that light creates the reaction in the glass. Daylight charges the phosphor; the phosphor's afterglow re-lights the uranyl ply in the dark; total light out is bounded by the energy stored in the phosphor — the laminate reshapes, colors and concentrates the light; it does not multiply it.</w:t>
      </w:r>
    </w:p>
    <w:p>
      <w:pPr>
        <w:spacing w:after="120" w:line="312" w:lineRule="auto"/>
      </w:pPr>
      <w:r>
        <w:t>2 · The Glass</w:t>
      </w:r>
    </w:p>
    <w:p>
      <w:pPr>
        <w:spacing w:after="120" w:line="312" w:lineRule="auto"/>
      </w:pPr>
      <w:r>
        <w:t>Uranium glass carries the uranyl ion (UO2²⁺), which absorbs ultraviolet (roughly 330–420 nm) and fluoresces at about 530 nm — the unmistakable uranium green. In the laminate the uranium glass is the outer face: the signature surface the world sees, and the light-pipe that gathers and guides the glow.</w:t>
      </w:r>
    </w:p>
    <w:p>
      <w:pPr>
        <w:spacing w:after="120" w:line="312" w:lineRule="auto"/>
      </w:pPr>
      <w:r>
        <w:t>3 · The Pump</w:t>
      </w:r>
    </w:p>
    <w:p>
      <w:pPr>
        <w:spacing w:after="120" w:line="312" w:lineRule="auto"/>
      </w:pPr>
      <w:r>
        <w:t>The strontium heart uses the 490 grade — Sr4Al14O25:Eu,Dy, emitting near 490 nm blue-green — chosen because its light creates the reaction in the glass. The standard 520 grade (SrAl2O4:Eu,Dy) does not ride the laminate ply — it serves the plain glow paint where there is no uranyl ply to drive, at maximum brightness per dollar. The open channel runs one way: the charged 490 phosphor genuinely re-lights the uranium glass in the dark — the strontium is charged and lights up, and its light creates the reaction in the glass. Brightness honesty, printed with it: total light out is bounded by the energy stored in the phosphor — the laminate reshapes, colors and concentrates the light; it does not multiply it. Two time constants ride in one stack: instant uranyl fluorescence under pump, hours of phosphor persistence after.</w:t>
      </w:r>
    </w:p>
    <w:p>
      <w:pPr>
        <w:spacing w:after="120" w:line="312" w:lineRule="auto"/>
      </w:pPr>
      <w:r>
        <w:t>4 · The Carrier Law — Heavy Soak, Wafer Thin</w:t>
      </w:r>
    </w:p>
    <w:p>
      <w:pPr>
        <w:spacing w:after="120" w:line="312" w:lineRule="auto"/>
      </w:pPr>
      <w:r>
        <w:t>Terrestrial panels: the phosphor rides in PVB laminate film between the glass plies — 0.38 mm class, 30–40 wt% loading before the film goes chalky, with optical self-shading setting the true ceiling; fine 10–30 µm powder, dispersed, not clumped; glass-sealed edges double as permanent encapsulation against hydrolysis. Orbital shells: PVB fails the low-outgassing law in vacuum, so the phosphor rides in a silica sol-gel binder, slurry-coated and cured cold at about 200 °C. Universal: the phosphor never enters the glass melt — the europium and dysprosium trap chemistry dies hundreds of degrees below glassworking temperature. Glass hot, phosphor cold, always.</w:t>
      </w:r>
    </w:p>
    <w:p>
      <w:pPr>
        <w:spacing w:after="120" w:line="312" w:lineRule="auto"/>
      </w:pPr>
      <w:r>
        <w:t>5 · The Mini-Moon Shell</w:t>
      </w:r>
    </w:p>
    <w:p>
      <w:pPr>
        <w:spacing w:after="120" w:line="312" w:lineRule="auto"/>
      </w:pPr>
      <w:r>
        <w:t>Amends Phase 242. The sun-charged phosphor shell gains a uranium glass outer ply over the 490 strontium sol-gel ply. Daylight: the uranyl ply flashes the signature green in direct sun — a lane marker that announces itself. Eclipse: the 490 afterglow carries through and keeps pumping the uranyl shoulder, so the night side still reads uranium-green. Sphere optics correction to the panel law: a sphere has no waveguide edge — trapped light orbits inside; the outlets are engineered surface features (pits, lensed patches, texture), so the glow becomes positional and patternable. Registered and tracked, every one — now self-signaling too.</w:t>
      </w:r>
    </w:p>
    <w:p>
      <w:pPr>
        <w:spacing w:after="120" w:line="312" w:lineRule="auto"/>
      </w:pPr>
      <w:r>
        <w:t>6 · The Saucer’s Undercarriage</w:t>
      </w:r>
    </w:p>
    <w:p>
      <w:pPr>
        <w:spacing w:after="120" w:line="312" w:lineRule="auto"/>
      </w:pPr>
      <w:r>
        <w:t>The saucer’s lower fairing and legs carry strontium aluminate glow paint — the 520 grade here, since with no uranyl ply to pump, the standard SrAl2O4:Eu,Dy gives maximum brightness and persistence per dollar. Charge bookkeeping, honest: daylight between stops is the real charger; the house’s porch light on descent is a top-up (white-LED blue pump, seconds of exposure — modest but real); the departure glow after rise is the payoff — the ultimate super cool VTOL. Bounds: the paint keeps clear of the floor exit ports, the shutter ring, and the sensor dome; mass negligible; no aerodynamic change on the static skin.</w:t>
      </w:r>
    </w:p>
    <w:p>
      <w:pPr>
        <w:spacing w:after="120" w:line="312" w:lineRule="auto"/>
      </w:pPr>
      <w:r>
        <w:t>7 · The City and the Pad</w:t>
      </w:r>
    </w:p>
    <w:p>
      <w:pPr>
        <w:spacing w:after="120" w:line="312" w:lineRule="auto"/>
      </w:pPr>
      <w:r>
        <w:t>The glow scales up the map: cities read the family as spotlights, markers and accents in the urban dark, and the ship’s own pad joins in — a spotlight underneath the landing spot, battery-backed, the battery charged by solar. A no-cost function once installed; nothing drawn from the grid, ever. The brightness honesty scales with it: persistent phosphor is a marker, not an illuminator — millicandela class; it glows to be seen, it does not light a street. So the phosphor carries the signature (pad rings, markings, the moons overhead) and the solar-charged LED spotlight under the pad carries the lumens. Marker from the powder, light from the panel, bill from the sun: zero.</w:t>
      </w:r>
    </w:p>
    <w:p>
      <w:pPr>
        <w:spacing w:after="120" w:line="312" w:lineRule="auto"/>
      </w:pPr>
      <w:r>
        <w:t>8 · The Record</w:t>
      </w:r>
    </w:p>
    <w:p>
      <w:pPr>
        <w:spacing w:after="120" w:line="312" w:lineRule="auto"/>
      </w:pPr>
      <w:r>
        <w:t>The laminate is deliberately unfiled — a low-value market, not worth a patent. Open source, free to all; this phase is its record. The light family gains its glass: the glow powder meets uranium, the mini-moons take the new shell, and the saucer glows.</w:t>
      </w:r>
    </w:p>
    <w:p>
      <w:pPr>
        <w:spacing w:after="120" w:line="312" w:lineRule="auto"/>
      </w:pPr>
      <w:r>
        <w:t>Owed to the Bench</w:t>
      </w:r>
    </w:p>
    <w:p>
      <w:pPr>
        <w:spacing w:after="120" w:line="312" w:lineRule="auto"/>
      </w:pPr>
      <w:r>
        <w:t>Measured pump-transfer efficiency — the 490-to-uranyl re-light against phosphor-only persistence — to quantify what the laminate adds over the phosphor alone; long-arc hydrolysis testing on the sealed PVB edges; outgassing numbers on the sol-gel carrier for the orbital shells.</w:t>
      </w:r>
    </w:p>
    <w:p>
      <w:pPr>
        <w:spacing w:after="120" w:line="312" w:lineRule="auto"/>
      </w:pPr>
      <w:r>
        <w:t>THE SCALP: the wall says same-color light cannot climb back uphill — so the family found the one rung where it can. The strontium lights the glass after dark, the moons announce themselves in sun and hold their color through eclipse, and the saucer rises glowing. Nobody else has any of the three.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304: The Supaglass Laminate — Uranium Glass Meets the Glow Family</dc:title>
  <dc:subject/>
  <dc:creator>Archer Quinn</dc:creator>
  <cp:keywords/>
  <dc:description>generated by python-docx</dc:description>
  <cp:lastModifiedBy/>
  <cp:revision>1</cp:revision>
  <dcterms:created xsi:type="dcterms:W3CDTF">2013-12-23T23:15:00Z</dcterms:created>
  <dcterms:modified xsi:type="dcterms:W3CDTF">2013-12-23T23:15:00Z</dcterms:modified>
  <cp:category/>
</cp:coreProperties>
</file>