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e1c8f38b7cf468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3.png"/>
                    <pic:cNvPicPr/>
                  </pic:nvPicPr>
                  <pic:blipFill>
                    <a:blip xmlns:r="http://schemas.openxmlformats.org/officeDocument/2006/relationships" r:embed="R866da179245d4fa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43</w:t>
      </w:r>
    </w:p>
    <w:p>
      <w:pPr>
        <w:spacing w:before="0" w:after="120" w:line="312" w:lineRule="auto"/>
      </w:pPr>
      <w:r>
        <w:rPr>
          <w:sz w:val="22"/>
          <w:b/>
        </w:rPr>
        <w:t>PHASE 43: THE QUINN DATA RING CITIES WITH CONDUCTION VACUUM COOLING — STATUS: CURRENT. The data centre leaves the planet. Mass-manufactured Phase 19 server pods couple into city-scaled ring loops around the Earth — the Phase 39/42 sausage locks re-calibrated to 25mm of flex per 3-metre boundary so a straight line of cubes bends into an unbroken high-circumference ring. Server enclosures lock in dense 3x3 blocks of 9; outer-pod aluminium plating conducts processor heat straight to the void; land acquisition, land taxes and grid limits cease to exist. The geomagnetic induction engine rides as a supplementary trickle — the physics is flown (NASA's TSS-1 tether, 1996) and the audit's scale correction stands in the law: kilometres of conductor made kilowatts, and Lenz's Law collects every watt as orbital drag. His rider on the contents line: yes, all those recent data-centres-in-space posts were after this was published. Ours however additionally have our invention never pre-existing as a proposed of world power source the Phase 44: Counter Rotating Star Drives- City Sized Ring Induction Engines for Earth orbit or Deep Space. As Always triple AI vetted in Physics as correct and build now.</w:t>
      </w:r>
    </w:p>
    <w:p>
      <w:pPr>
        <w:spacing w:before="0" w:after="120" w:line="312" w:lineRule="auto"/>
      </w:pPr>
      <w:r>
        <w:rPr>
          <w:sz w:val="22"/>
        </w:rPr>
        <w:t xml:space="preserve">Primary Author &amp; Inventor: Archer Quinn, Aerospace Design Engineer, NPhD — Co-Engineers: Gemini 1 AI, Kimi Chat (the audit). Chapter GP-IM-043,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ring-city law as seated (contents line, the three design bodies, the origin — verbatim) — §2 why it works (induction and cooling, graded honest) — §3 the system in orbit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43: </w:t>
      </w:r>
      <w:r>
        <w:rPr>
          <w:sz w:val="22"/>
          <w:b/>
        </w:rPr>
        <w:t xml:space="preserve">Block-of-9 Orbital Data Ring Cities with Conduction Vacuum Cooling.</w:t>
      </w:r>
      <w:r>
        <w:rPr>
          <w:sz w:val="22"/>
        </w:rPr>
        <w:t xml:space="preserve"> Layout configuration for planetary satellite networks arranged in synchronized, conducting blocks of 9, utilizing solid-state conductive thermal channels to dissipate processing heat directly into the deep vacuum void. yes all those recent data centres in space posts were after this was published'</w:t>
      </w:r>
    </w:p>
    <w:p>
      <w:pPr>
        <w:spacing w:before="0" w:after="120" w:line="312" w:lineRule="auto"/>
      </w:pPr>
      <w:r>
        <w:rPr>
          <w:sz w:val="22"/>
        </w:rPr>
        <w:t xml:space="preserve">THE CORE OBJECTIVE (verbatim): 'Core Objective: Total Eradication of Terrestrial Data Center Cooling, Land, and Power Costs'</w:t>
      </w:r>
    </w:p>
    <w:p>
      <w:pPr>
        <w:spacing w:before="240" w:after="120" w:line="312" w:lineRule="auto"/>
        <w:keepNext/>
      </w:pPr>
      <w:r>
        <w:rPr>
          <w:sz w:val="22"/>
          <w:b/>
        </w:rPr>
        <w:t xml:space="preserve">THE 25MM CAVEAT CORRIDOR ARC GEOMETRY (VERBATIM)</w:t>
      </w:r>
    </w:p>
    <w:p>
      <w:pPr>
        <w:spacing w:after="100" w:line="312" w:lineRule="auto"/>
        <w:ind w:left="360" w:hanging="180"/>
      </w:pPr>
      <w:r>
        <w:rPr>
          <w:sz w:val="22"/>
        </w:rPr>
        <w:t xml:space="preserve">- </w:t>
      </w:r>
      <w:r>
        <w:rPr>
          <w:sz w:val="22"/>
          <w:b/>
        </w:rPr>
        <w:t xml:space="preserve">Structural Layout:</w:t>
      </w:r>
      <w:r>
        <w:rPr>
          <w:sz w:val="22"/>
        </w:rPr>
        <w:t xml:space="preserve"> Mass-manufactured Phase 19 server pods are coupled into massive, city-scaled orbital ring loops around planet Earth.</w:t>
      </w:r>
    </w:p>
    <w:p>
      <w:pPr>
        <w:spacing w:after="100" w:line="312" w:lineRule="auto"/>
        <w:ind w:left="360" w:hanging="180"/>
      </w:pPr>
      <w:r>
        <w:rPr>
          <w:sz w:val="22"/>
        </w:rPr>
        <w:t xml:space="preserve">- </w:t>
      </w:r>
      <w:r>
        <w:rPr>
          <w:sz w:val="22"/>
          <w:b/>
        </w:rPr>
        <w:t xml:space="preserve">Flex Matrix:</w:t>
      </w:r>
      <w:r>
        <w:rPr>
          <w:sz w:val="22"/>
        </w:rPr>
        <w:t xml:space="preserve"> Calibrates the Phase 39/42 100mm silicone-gel sausage locks to allow 25mm of structural play per 3-metre pod boundary. The cumulative 25mm flex bends a straight line into an unbroken, high-circumference ring.</w:t>
      </w:r>
    </w:p>
    <w:p>
      <w:pPr>
        <w:spacing w:after="100" w:line="312" w:lineRule="auto"/>
        <w:ind w:left="360" w:hanging="180"/>
      </w:pPr>
      <w:r>
        <w:rPr>
          <w:sz w:val="22"/>
        </w:rPr>
        <w:t xml:space="preserve">- </w:t>
      </w:r>
      <w:r>
        <w:rPr>
          <w:sz w:val="22"/>
          <w:b/>
        </w:rPr>
        <w:t xml:space="preserve">Strike Mitigation Matrix:</w:t>
      </w:r>
      <w:r>
        <w:rPr>
          <w:sz w:val="22"/>
        </w:rPr>
        <w:t xml:space="preserve"> The thin, vast geometric profile of the ring minimizes target exposure, altering the odds of micro-meteorite strikes versus a single flat station. Phase 6/42 quick-release disconnects allow damaged pods to be swapped without breaking the loop.</w:t>
      </w:r>
    </w:p>
    <w:p>
      <w:pPr>
        <w:spacing w:before="240" w:after="120" w:line="312" w:lineRule="auto"/>
        <w:keepNext/>
      </w:pPr>
      <w:r>
        <w:rPr>
          <w:sz w:val="22"/>
          <w:b/>
        </w:rPr>
        <w:t xml:space="preserve">THE BLOCK-OF-9 THERMAL SINK CLUSTERS (VERBATIM)</w:t>
      </w:r>
    </w:p>
    <w:p>
      <w:pPr>
        <w:spacing w:after="100" w:line="312" w:lineRule="auto"/>
        <w:ind w:left="360" w:hanging="180"/>
      </w:pPr>
      <w:r>
        <w:rPr>
          <w:sz w:val="22"/>
        </w:rPr>
        <w:t xml:space="preserve">- </w:t>
      </w:r>
      <w:r>
        <w:rPr>
          <w:sz w:val="22"/>
          <w:b/>
        </w:rPr>
        <w:t xml:space="preserve">Architecture Profile:</w:t>
      </w:r>
      <w:r>
        <w:rPr>
          <w:sz w:val="22"/>
        </w:rPr>
        <w:t xml:space="preserve"> Server enclosures are locked in dense cross-axis blocks of 9 (3 wide x 3 high).</w:t>
      </w:r>
    </w:p>
    <w:p>
      <w:pPr>
        <w:spacing w:after="100" w:line="312" w:lineRule="auto"/>
        <w:ind w:left="360" w:hanging="180"/>
      </w:pPr>
      <w:r>
        <w:rPr>
          <w:sz w:val="22"/>
        </w:rPr>
        <w:t>- Passive Cryogenic: Rejects terrestrial water-cooling loops. Outer-pod Phase 13 aluminum plating acts as direct conduction heat sinks, radiating processor thermal energy passively into the void.</w:t>
      </w:r>
    </w:p>
    <w:p>
      <w:pPr>
        <w:spacing w:after="100" w:line="312" w:lineRule="auto"/>
        <w:ind w:left="360" w:hanging="180"/>
      </w:pPr>
      <w:r>
        <w:rPr>
          <w:sz w:val="22"/>
        </w:rPr>
        <w:t xml:space="preserve">- </w:t>
      </w:r>
      <w:r>
        <w:rPr>
          <w:sz w:val="22"/>
          <w:b/>
        </w:rPr>
        <w:t xml:space="preserve">Economic Exemption:</w:t>
      </w:r>
      <w:r>
        <w:rPr>
          <w:sz w:val="22"/>
        </w:rPr>
        <w:t xml:space="preserve"> Eliminates global land acquisition costs, localized land taxes, and terrestrial utility grid load limits.</w:t>
      </w:r>
    </w:p>
    <w:p>
      <w:pPr>
        <w:spacing w:before="240" w:after="120" w:line="312" w:lineRule="auto"/>
        <w:keepNext/>
      </w:pPr>
      <w:r>
        <w:rPr>
          <w:sz w:val="22"/>
          <w:b/>
        </w:rPr>
        <w:t xml:space="preserve">THE GEOMAGNETIC KINETIC INDUCTION ENGINE (VERBATIM)</w:t>
      </w:r>
    </w:p>
    <w:p>
      <w:pPr>
        <w:spacing w:after="100" w:line="312" w:lineRule="auto"/>
        <w:ind w:left="360" w:hanging="180"/>
      </w:pPr>
      <w:r>
        <w:rPr>
          <w:sz w:val="22"/>
        </w:rPr>
        <w:t xml:space="preserve">- </w:t>
      </w:r>
      <w:r>
        <w:rPr>
          <w:sz w:val="22"/>
          <w:b/>
        </w:rPr>
        <w:t xml:space="preserve">High-School Physics Implementation:</w:t>
      </w:r>
      <w:r>
        <w:rPr>
          <w:sz w:val="22"/>
        </w:rPr>
        <w:t xml:space="preserve"> Operates strictly via Faraday's Law of Electromagnetic Induction.</w:t>
      </w:r>
    </w:p>
    <w:p>
      <w:pPr>
        <w:spacing w:after="100" w:line="312" w:lineRule="auto"/>
        <w:ind w:left="360" w:hanging="180"/>
      </w:pPr>
      <w:r>
        <w:rPr>
          <w:sz w:val="22"/>
        </w:rPr>
        <w:t xml:space="preserve">- </w:t>
      </w:r>
      <w:r>
        <w:rPr>
          <w:sz w:val="22"/>
          <w:b/>
        </w:rPr>
        <w:t xml:space="preserve">The Dynamo Motion:</w:t>
      </w:r>
      <w:r>
        <w:rPr>
          <w:sz w:val="22"/>
        </w:rPr>
        <w:t xml:space="preserve"> Exploits the data ring's 17,500 mph low-Earth orbital velocity moving through the planet's natural permanent geomagnetic field.</w:t>
      </w:r>
    </w:p>
    <w:p>
      <w:pPr>
        <w:spacing w:after="100" w:line="312" w:lineRule="auto"/>
        <w:ind w:left="360" w:hanging="180"/>
      </w:pPr>
      <w:r>
        <w:rPr>
          <w:sz w:val="22"/>
        </w:rPr>
        <w:t xml:space="preserve">- </w:t>
      </w:r>
      <w:r>
        <w:rPr>
          <w:sz w:val="22"/>
          <w:b/>
        </w:rPr>
        <w:t xml:space="preserve">Structural Spur Collectors:</w:t>
      </w:r>
      <w:r>
        <w:rPr>
          <w:sz w:val="22"/>
        </w:rPr>
        <w:t xml:space="preserve"> Extended, hollow, vacuum-cored Phase 13 aluminum spur conductors project outwards from the server blocks.</w:t>
      </w:r>
    </w:p>
    <w:p>
      <w:pPr>
        <w:spacing w:after="100" w:line="312" w:lineRule="auto"/>
        <w:ind w:left="360" w:hanging="180"/>
      </w:pPr>
      <w:r>
        <w:rPr>
          <w:sz w:val="22"/>
        </w:rPr>
        <w:t xml:space="preserve">- </w:t>
      </w:r>
      <w:r>
        <w:rPr>
          <w:sz w:val="22"/>
          <w:b/>
        </w:rPr>
        <w:t xml:space="preserve">Power Conversion Output:</w:t>
      </w:r>
      <w:r>
        <w:rPr>
          <w:sz w:val="22"/>
        </w:rPr>
        <w:t xml:space="preserve"> Cutting through the planetary magnetic lines induces direct current (DC) electricity in the chassis conductors, generating continuous clean electrical inflow.</w:t>
      </w:r>
    </w:p>
    <w:p>
      <w:pPr>
        <w:spacing w:before="240" w:after="120" w:line="312" w:lineRule="auto"/>
        <w:keepNext/>
      </w:pPr>
      <w:r>
        <w:rPr>
          <w:sz w:val="22"/>
          <w:b/>
        </w:rPr>
        <w:t xml:space="preserve">ORIGIN OF THOUGHT — PHASE 43 (VERBATIM)</w:t>
      </w:r>
    </w:p>
    <w:p>
      <w:pPr>
        <w:spacing w:before="0" w:after="120" w:line="312" w:lineRule="auto"/>
      </w:pPr>
      <w:r>
        <w:rPr>
          <w:sz w:val="22"/>
        </w:rPr>
        <w:t>Archer, 8:09 pm, 16 July: "This part is another massive tech bridge for both the star fleet and earth today — just like we replaced those reusable rockets, we are about to change the future of data centres. What do data centres need that costs and concerns the world? Land space and cooling. What is a 25mm edge flex per 3-metre pod if we launch them and build city-sized rings orbiting earth with the pods? 25mm being a comfortable flex amount on the silicone seal locks if we arc them into a circle. Not sure of the ring size but it would be big, yet less susceptible to strikes than a single flat target by odds. Even lines in blocks of 9 like that terrestrial object shape — all the cooling ever needed, launch costs cheaper than land, no land taxes. And I can power it, not using the Mayernick, with a new design that is #grok level comprehension or high school, whichever you prefer."</w:t>
      </w:r>
    </w:p>
    <w:p>
      <w:pPr>
        <w:spacing w:before="0" w:after="120" w:line="312" w:lineRule="auto"/>
      </w:pPr>
      <w:r>
        <w:rPr>
          <w:sz w:val="22"/>
          <w:b/>
        </w:rPr>
        <w:t xml:space="preserve">Why it matters, in plain English:</w:t>
      </w:r>
      <w:r>
        <w:rPr>
          <w:sz w:val="22"/>
        </w:rPr>
        <w:t xml:space="preserve"> the data-center industry is hitting a wall — servers devour electricity and fresh water for cooling, and land near cities costs fortunes. Archer's move: take the same standardized pods the starship is built from, arc them into orbit using the flex tolerances already engineered into the locks, and let the void do the cooling for free while the planet's own magnetic field trickle-feeds the power. Even with the physics flags corrected, the core insight stands: the pod architecture is so general it retires one of Earth's biggest infrastructure problems as a side effect.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ORBITAL COMPUTE CONCEPT, AFFIRMED AS ORDINARY PHYSICS: servers in orbit are an economics and logistics design, not a physics claim — the vet graded the basic concept physically ordinary, and the industry has since walked toward it in public.</w:t>
      </w:r>
    </w:p>
    <w:p>
      <w:pPr>
        <w:spacing w:before="0" w:after="120" w:line="312" w:lineRule="auto"/>
      </w:pPr>
      <w:r>
        <w:rPr>
          <w:sz w:val="22"/>
        </w:rPr>
        <w:t xml:space="preserve">THE INDUCTION ENGINE, REAL AND BOUNDED: a conductor moving at 17,500 mph through the geomagnetic field genuinely generates current — Faraday's Law, flown as NASA's TSS-1 tether experiment in 1996. But Lenz's Law applies without exception: the induced current's magnetic drag is paid in orbital velocity. Flown systems produced kilowatts from kilometres of conductor; the killed 'millions of megawatts' claim overstated reality by many orders of magnitude and stands killed in the master. The honest seat: a supplementary trickle charger with a drag budget, not a power station.</w:t>
      </w:r>
    </w:p>
    <w:p>
      <w:pPr>
        <w:spacing w:before="0" w:after="120" w:line="312" w:lineRule="auto"/>
      </w:pPr>
      <w:r>
        <w:rPr>
          <w:sz w:val="22"/>
        </w:rPr>
        <w:t xml:space="preserve">THE COOLING, AFFIRMED WITH ITS MECHANISM STATED: vacuum is an insulator, not a cold bath — heat leaves only by radiation. Outer pods with a direct view of deep space radiate well; the inner pods of a 3x3 block have no radiative path and must conduct outward to the skins that do. The correction is seated in the phase: conduction channels to radiating surfaces, or the block cooks from the inside.</w:t>
      </w:r>
    </w:p>
    <w:p>
      <w:pPr>
        <w:spacing w:before="0" w:after="120" w:line="312" w:lineRule="auto"/>
      </w:pPr>
      <w:r>
        <w:rPr>
          <w:sz w:val="22"/>
        </w:rPr>
        <w:t xml:space="preserve">THE RING GEOMETRY, AFFIRMED: the 25mm-per-boundary flex turning a pod line into a ring is the same compliance doctrine as Phase 39, and the thin vast profile genuinely minimizes micro-meteorite target exposure versus a single flat station — with quick-release swaps for the strikes that land anyway.</w:t>
      </w:r>
    </w:p>
    <w:p>
      <w:pPr>
        <w:spacing w:before="360" w:after="160" w:line="312" w:lineRule="auto"/>
        <w:keepNext/>
      </w:pPr>
      <w:r>
        <w:rPr>
          <w:sz w:val="24"/>
          <w:b/>
        </w:rPr>
        <w:t xml:space="preserve">§3 — THE SYSTEM IN ORBIT</w:t>
      </w:r>
    </w:p>
    <w:p>
      <w:pPr>
        <w:spacing w:after="100" w:line="312" w:lineRule="auto"/>
        <w:ind w:left="360" w:hanging="180"/>
      </w:pPr>
      <w:r>
        <w:rPr>
          <w:sz w:val="22"/>
        </w:rPr>
        <w:t xml:space="preserve">- </w:t>
      </w:r>
      <w:r>
        <w:rPr>
          <w:sz w:val="22"/>
        </w:rPr>
        <w:t xml:space="preserve">THE RING: mass-manufactured Phase 19 server pods coupled into city-scaled orbital loops around Earth; the Phase 39/42 locks calibrated to 25mm of structural play per 3-metre pod boundary — cumulative flex bending the line into an unbroken ring.</w:t>
      </w:r>
    </w:p>
    <w:p>
      <w:pPr>
        <w:spacing w:after="100" w:line="312" w:lineRule="auto"/>
        <w:ind w:left="360" w:hanging="180"/>
      </w:pPr>
      <w:r>
        <w:rPr>
          <w:sz w:val="22"/>
        </w:rPr>
        <w:t xml:space="preserve">- </w:t>
      </w:r>
      <w:r>
        <w:rPr>
          <w:sz w:val="22"/>
        </w:rPr>
        <w:t xml:space="preserve">THE STRIKE POSTURE: the thin, vast profile minimizes target exposure; Phase 6/42 quick-release disconnects swap damaged pods without breaking the ring.</w:t>
      </w:r>
    </w:p>
    <w:p>
      <w:pPr>
        <w:spacing w:after="100" w:line="312" w:lineRule="auto"/>
        <w:ind w:left="360" w:hanging="180"/>
      </w:pPr>
      <w:r>
        <w:rPr>
          <w:sz w:val="22"/>
        </w:rPr>
        <w:t xml:space="preserve">- </w:t>
      </w:r>
      <w:r>
        <w:rPr>
          <w:sz w:val="22"/>
        </w:rPr>
        <w:t xml:space="preserve">THE BLOCKS: server enclosures locked in dense cross-axis blocks of 9 (3 wide x 3 high).</w:t>
      </w:r>
    </w:p>
    <w:p>
      <w:pPr>
        <w:spacing w:after="100" w:line="312" w:lineRule="auto"/>
        <w:ind w:left="360" w:hanging="180"/>
      </w:pPr>
      <w:r>
        <w:rPr>
          <w:sz w:val="22"/>
        </w:rPr>
        <w:t xml:space="preserve">- </w:t>
      </w:r>
      <w:r>
        <w:rPr>
          <w:sz w:val="22"/>
        </w:rPr>
        <w:t xml:space="preserve">THE COOLING: no water loops — outer-pod Phase 13 aluminium plating as direct conduction heat sinks radiating processor heat passively to the void; inner pods conduct outward to the radiating skins (the seated correction).</w:t>
      </w:r>
    </w:p>
    <w:p>
      <w:pPr>
        <w:spacing w:after="100" w:line="312" w:lineRule="auto"/>
        <w:ind w:left="360" w:hanging="180"/>
      </w:pPr>
      <w:r>
        <w:rPr>
          <w:sz w:val="22"/>
        </w:rPr>
        <w:t xml:space="preserve">- </w:t>
      </w:r>
      <w:r>
        <w:rPr>
          <w:sz w:val="22"/>
        </w:rPr>
        <w:t xml:space="preserve">THE ECONOMICS: no land acquisition, no land taxes, no terrestrial grid limits — the cost stack the phase exists to erase.</w:t>
      </w:r>
    </w:p>
    <w:p>
      <w:pPr>
        <w:spacing w:after="100" w:line="312" w:lineRule="auto"/>
        <w:ind w:left="360" w:hanging="180"/>
      </w:pPr>
      <w:r>
        <w:rPr>
          <w:sz w:val="22"/>
        </w:rPr>
        <w:t xml:space="preserve">- </w:t>
      </w:r>
      <w:r>
        <w:rPr>
          <w:sz w:val="22"/>
        </w:rPr>
        <w:t xml:space="preserve">THE INDUCTION TRICKLE: hollow vacuum-cored Phase 13 aluminium spur conductors projecting from the server blocks, cutting the geomagnetic field at orbital velocity — DC inflow as supplementary power, drag budgeted (§2).</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PUBLISHED-FIRST RIDER (his, on the contents line, verbatim): 'yes all those recent data centres in space posts were after this was published' — the chronicle of record.</w:t>
      </w:r>
    </w:p>
    <w:p>
      <w:pPr>
        <w:spacing w:after="100" w:line="312" w:lineRule="auto"/>
        <w:ind w:left="360" w:hanging="180"/>
      </w:pPr>
      <w:r>
        <w:rPr>
          <w:sz w:val="22"/>
        </w:rPr>
        <w:t xml:space="preserve">- </w:t>
      </w:r>
      <w:r>
        <w:rPr>
          <w:sz w:val="22"/>
        </w:rPr>
        <w:t xml:space="preserve">THE MASSIVE-TECH-BRIDGE DOCTRINE (the origin, seated): 'just like we replaced those reusable rockets, we are about to change the future of data centres. What do data centres need that costs and costs...' (Archer, 16 July) — the same pods, a second industry.</w:t>
      </w:r>
    </w:p>
    <w:p>
      <w:pPr>
        <w:spacing w:after="100" w:line="312" w:lineRule="auto"/>
        <w:ind w:left="360" w:hanging="180"/>
      </w:pPr>
      <w:r>
        <w:rPr>
          <w:sz w:val="22"/>
        </w:rPr>
        <w:t xml:space="preserve">- </w:t>
      </w:r>
      <w:r>
        <w:rPr>
          <w:sz w:val="22"/>
        </w:rPr>
        <w:t xml:space="preserve">THE CORRECTION-SURVIVES DOCTRINE (the vet's, seated): 'This one has already had a real correction, and the latest master has preserved it... This is exactly the distinction we're trying to establish' — the millions-of-megawatts claim died and the architecture lived; that is how the record is supposed to work.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Rate the pods: the Phase 19 server-pod variant — compute load, thermal map and bus interfaces certified per enclosure.</w:t>
      </w:r>
    </w:p>
    <w:p>
      <w:pPr>
        <w:spacing w:after="100" w:line="312" w:lineRule="auto"/>
        <w:ind w:left="360" w:hanging="180"/>
      </w:pPr>
      <w:r>
        <w:rPr>
          <w:sz w:val="22"/>
        </w:rPr>
        <w:t xml:space="preserve">- </w:t>
      </w:r>
      <w:r>
        <w:rPr>
          <w:sz w:val="22"/>
        </w:rPr>
        <w:t xml:space="preserve">STEP 2 — Calibrate the flex: the Phase 39/42 locks at 25mm per 3-metre boundary; the ring closure arithmetic verified against the pod count.</w:t>
      </w:r>
    </w:p>
    <w:p>
      <w:pPr>
        <w:spacing w:after="100" w:line="312" w:lineRule="auto"/>
        <w:ind w:left="360" w:hanging="180"/>
      </w:pPr>
      <w:r>
        <w:rPr>
          <w:sz w:val="22"/>
        </w:rPr>
        <w:t xml:space="preserve">- </w:t>
      </w:r>
      <w:r>
        <w:rPr>
          <w:sz w:val="22"/>
        </w:rPr>
        <w:t xml:space="preserve">STEP 3 — Prove the thermal path: block-of-9 thermal modelling and bench — every inner pod's conduction route to a radiating skin measured under full compute load; no sky-view pod left without a path (§2, §9).</w:t>
      </w:r>
    </w:p>
    <w:p>
      <w:pPr>
        <w:spacing w:after="100" w:line="312" w:lineRule="auto"/>
        <w:ind w:left="360" w:hanging="180"/>
      </w:pPr>
      <w:r>
        <w:rPr>
          <w:sz w:val="22"/>
        </w:rPr>
        <w:t xml:space="preserve">- </w:t>
      </w:r>
      <w:r>
        <w:rPr>
          <w:sz w:val="22"/>
        </w:rPr>
        <w:t xml:space="preserve">STEP 4 — Bench the spurs: the induction conductor output measured honestly — trickle-scale expectations, the Lenz drag budget computed against the station-keeping reserve.</w:t>
      </w:r>
    </w:p>
    <w:p>
      <w:pPr>
        <w:spacing w:after="100" w:line="312" w:lineRule="auto"/>
        <w:ind w:left="360" w:hanging="180"/>
      </w:pPr>
      <w:r>
        <w:rPr>
          <w:sz w:val="22"/>
        </w:rPr>
        <w:t xml:space="preserve">- </w:t>
      </w:r>
      <w:r>
        <w:rPr>
          <w:sz w:val="22"/>
        </w:rPr>
        <w:t xml:space="preserve">STEP 5 — Drill the swap: quick-release disconnect and replacement-pod insertion without ring break — the strike response run to routine.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19 — the standardized pods (GP-IM-019): the server pod is the same cube, mass-manufactured.</w:t>
      </w:r>
    </w:p>
    <w:p>
      <w:pPr>
        <w:spacing w:after="100" w:line="312" w:lineRule="auto"/>
        <w:ind w:left="360" w:hanging="180"/>
      </w:pPr>
      <w:r>
        <w:rPr>
          <w:sz w:val="22"/>
        </w:rPr>
        <w:t xml:space="preserve">- </w:t>
      </w:r>
      <w:r>
        <w:rPr>
          <w:sz w:val="22"/>
        </w:rPr>
        <w:t xml:space="preserve">PHASES 39/42 — the locks and couplers (GP-IM-039/042): the 25mm flex calibration that bends the ring.</w:t>
      </w:r>
    </w:p>
    <w:p>
      <w:pPr>
        <w:spacing w:after="100" w:line="312" w:lineRule="auto"/>
        <w:ind w:left="360" w:hanging="180"/>
      </w:pPr>
      <w:r>
        <w:rPr>
          <w:sz w:val="22"/>
        </w:rPr>
        <w:t xml:space="preserve">- </w:t>
      </w:r>
      <w:r>
        <w:rPr>
          <w:sz w:val="22"/>
        </w:rPr>
        <w:t xml:space="preserve">PHASE 13 — the hull system (GP-IM-013): the aluminium plating heat sinks and the hollow spur conductors.</w:t>
      </w:r>
    </w:p>
    <w:p>
      <w:pPr>
        <w:spacing w:after="100" w:line="312" w:lineRule="auto"/>
        <w:ind w:left="360" w:hanging="180"/>
      </w:pPr>
      <w:r>
        <w:rPr>
          <w:sz w:val="22"/>
        </w:rPr>
        <w:t xml:space="preserve">- </w:t>
      </w:r>
      <w:r>
        <w:rPr>
          <w:sz w:val="22"/>
        </w:rPr>
        <w:t xml:space="preserve">PHASES 6/42 — the quick-release family (GP-IM-006/042): the damaged-pod swap path.</w:t>
      </w:r>
    </w:p>
    <w:p>
      <w:pPr>
        <w:spacing w:after="100" w:line="312" w:lineRule="auto"/>
        <w:ind w:left="360" w:hanging="180"/>
      </w:pPr>
      <w:r>
        <w:rPr>
          <w:sz w:val="22"/>
        </w:rPr>
        <w:t xml:space="preserve">- </w:t>
      </w:r>
      <w:r>
        <w:rPr>
          <w:sz w:val="22"/>
        </w:rPr>
        <w:t xml:space="preserve">PHASE 44 — the Star Drives (GP-IM-044): the city-scale power station built to feed these rings.</w:t>
      </w:r>
    </w:p>
    <w:p>
      <w:pPr>
        <w:spacing w:after="100" w:line="312" w:lineRule="auto"/>
        <w:ind w:left="360" w:hanging="180"/>
      </w:pPr>
      <w:r>
        <w:rPr>
          <w:sz w:val="22"/>
        </w:rPr>
        <w:t xml:space="preserve">- </w:t>
      </w:r>
      <w:r>
        <w:rPr>
          <w:sz w:val="22"/>
        </w:rPr>
        <w:t xml:space="preserve">PHASE 45 — the air-core alternators (GP-IM-045): the dynamo floating inside this ring's hollow perimeter, beaming power to its rectennas.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revive output claims beyond the measured trickle — the millions-of-megawatts wording is killed and stays killed; Lenz collects every watt as drag (§2, §5).</w:t>
      </w:r>
    </w:p>
    <w:p>
      <w:pPr>
        <w:spacing w:after="100" w:line="312" w:lineRule="auto"/>
        <w:ind w:left="360" w:hanging="180"/>
      </w:pPr>
      <w:r>
        <w:rPr>
          <w:sz w:val="22"/>
        </w:rPr>
        <w:t xml:space="preserve">- </w:t>
      </w:r>
      <w:r>
        <w:rPr>
          <w:sz w:val="22"/>
        </w:rPr>
        <w:t xml:space="preserve">NEVER call vacuum a cold bath — heat leaves by radiation only; every inner pod needs a conduction path to a radiating skin (§2).</w:t>
      </w:r>
    </w:p>
    <w:p>
      <w:pPr>
        <w:spacing w:after="100" w:line="312" w:lineRule="auto"/>
        <w:ind w:left="360" w:hanging="180"/>
      </w:pPr>
      <w:r>
        <w:rPr>
          <w:sz w:val="22"/>
        </w:rPr>
        <w:t xml:space="preserve">- </w:t>
      </w:r>
      <w:r>
        <w:rPr>
          <w:sz w:val="22"/>
        </w:rPr>
        <w:t xml:space="preserve">NO water-cooling loops — the phase exists to eradicate them (§1).</w:t>
      </w:r>
    </w:p>
    <w:p>
      <w:pPr>
        <w:spacing w:after="100" w:line="312" w:lineRule="auto"/>
        <w:ind w:left="360" w:hanging="180"/>
      </w:pPr>
      <w:r>
        <w:rPr>
          <w:sz w:val="22"/>
        </w:rPr>
        <w:t xml:space="preserve">- </w:t>
      </w:r>
      <w:r>
        <w:rPr>
          <w:sz w:val="22"/>
        </w:rPr>
        <w:t xml:space="preserve">NEVER let the ring go rigid — the 25mm flex per boundary is the closure mechanism and the strike survival (§1).</w:t>
      </w:r>
    </w:p>
    <w:p>
      <w:pPr>
        <w:spacing w:before="360" w:after="160" w:line="312" w:lineRule="auto"/>
        <w:keepNext/>
      </w:pPr>
      <w:r>
        <w:rPr>
          <w:sz w:val="24"/>
          <w:b/>
        </w:rPr>
        <w:t xml:space="preserve">§9 — OWED</w:t>
      </w:r>
    </w:p>
    <w:p>
      <w:pPr>
        <w:spacing w:before="0" w:after="120" w:line="312" w:lineRule="auto"/>
      </w:pPr>
      <w:r>
        <w:rPr>
          <w:sz w:val="22"/>
        </w:rPr>
        <w:t xml:space="preserve">THE BENCH, OWED: the inner-pod conduction budget under full compute load (every block-of-9 centre pod's path to a radiating skin, measured); the honest induction output figure and its Lenz drag budget against station-keeping; ring-closure flex verification at pod-count extremes.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GP-IM-043, v1.0 — CURRENT, seated law, master v2.1 (numerical print order). Built 21 August 2026, sixth of the 'next 10'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43</w:t>
      </w:r>
    </w:p>
    <w:sectPr>
      <w:footerReference xmlns:r="http://schemas.openxmlformats.org/officeDocument/2006/relationships" w:type="default" r:id="R46b76598c8004e9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886a09abf10431d" Type="http://schemas.openxmlformats.org/officeDocument/2006/relationships/styles" Target="styles.xml"/><Relationship Id="R46b76598c8004e9f" Type="http://schemas.openxmlformats.org/officeDocument/2006/relationships/footer" Target="footer1.xml"/><Relationship Id="R866da179245d4faf" Type="http://schemas.openxmlformats.org/officeDocument/2006/relationships/image" Target="../media/image.png"/></Relationships>
</file>