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a30266b40b8437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44.png"/>
                    <pic:cNvPicPr/>
                  </pic:nvPicPr>
                  <pic:blipFill>
                    <a:blip xmlns:r="http://schemas.openxmlformats.org/officeDocument/2006/relationships" r:embed="R3b73f9eceb624ee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44</w:t>
      </w:r>
    </w:p>
    <w:p>
      <w:pPr>
        <w:spacing w:before="0" w:after="120" w:line="312" w:lineRule="auto"/>
      </w:pPr>
      <w:r>
        <w:rPr>
          <w:sz w:val="22"/>
          <w:b/>
        </w:rPr>
        <w:t>PHASE 44: THE QUINN COUNTER ROTATING STAR DRIVES- CITY SIZED RING INDUCTION ENGINES FOR EARTH ORBIT OR DEEP SPACE POWER STATIONS IN SPACE FOR DATE CENTRES: COUNTER-ROTATING PINWHEEL ORBITAL DYNAMOS WITH SOLAR LEVERAGE — STATUS: CURRENT. Every generator on Earth wastes half its potential — the coils sit still while only the magnets move. The Star Drive spins both, in opposite directions: two giant pod rings on a shared central axle core, Wheel A carrying the Phase 38 industrial induction magnets, Wheel B carrying the high-density copper coil matrices, Phase 37 plasma heads firing the pinwheel pair into counter-rotation so the coils cut flux at twice the tangential passing speed. The honest energy chain is seated in the law: counter-rotation doubles the relative velocity at the induction interface — and the additional mechanical energy and the Lenz reaction torque are supplied, not wished away: perimeter solar arrays at maximum leverage radius feed the edge thrusters that match the back-torque. Low RPM at the rim, extreme relative velocity at the gap, DC routed to the Phase 43 data cities. His rider on the contents line: published here first, and open source is the point.</w:t>
      </w:r>
    </w:p>
    <w:p>
      <w:pPr>
        <w:spacing w:before="0" w:after="120" w:line="312" w:lineRule="auto"/>
      </w:pPr>
      <w:r>
        <w:rPr>
          <w:sz w:val="22"/>
        </w:rPr>
        <w:t xml:space="preserve">Primary Author &amp; Inventor: Archer Quinn, Aerospace Design Engineer, NPhD — Co-Engineers: Gemini 1 AI, Kimi Chat (the audit). Chapter GP-IM-044,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Star Drive law as seated (contents line, the four design bodies including the solar-Lenz update, the origin — verbatim) — §2 why it works (the 2v physics and the honest energy chain — graded) — §3 the system in the ring pair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44: </w:t>
      </w:r>
      <w:r>
        <w:rPr>
          <w:sz w:val="22"/>
          <w:b/>
        </w:rPr>
        <w:t xml:space="preserve">Counter Rotating Star Drives- City Sized Ring Induction Engines for Earth orbit or Deep Space Power stations in Space for Date Centres: Counter-Rotating Pinwheel Orbital Dynamos with Solar Leverage.</w:t>
      </w:r>
      <w:r>
        <w:rPr>
          <w:sz w:val="22"/>
        </w:rPr>
        <w:t xml:space="preserve"> Deploys wide-radius, macro-scale kinetic power tracks designed to run at ultra-low, gentle structural RPM while their internal induction blocks slice through the magnetic field at extreme relative passing velocities to maximize current generation. Yes published here first before SpaceX and China announced theirs, and open source is the point.' Additionally we have a unique design, they have no design, just “we are going to build”</w:t>
      </w:r>
    </w:p>
    <w:p>
      <w:pPr>
        <w:spacing w:before="0" w:after="120" w:line="312" w:lineRule="auto"/>
      </w:pPr>
      <w:r>
        <w:rPr>
          <w:sz w:val="22"/>
        </w:rPr>
        <w:t xml:space="preserve">THE CORE OBJECTIVE (verbatim): 'Core Objective: Low friction High-Torque Energy Inflow via Dual-Ring Kinetics '</w:t>
      </w:r>
    </w:p>
    <w:p>
      <w:pPr>
        <w:spacing w:before="240" w:after="120" w:line="312" w:lineRule="auto"/>
        <w:keepNext/>
      </w:pPr>
      <w:r>
        <w:rPr>
          <w:sz w:val="22"/>
          <w:b/>
        </w:rPr>
        <w:t xml:space="preserve">THE CENTRAL TWIN-WHEEL AXLE ARCHITECTURE (VERBATIM)</w:t>
      </w:r>
    </w:p>
    <w:p>
      <w:pPr>
        <w:spacing w:after="100" w:line="312" w:lineRule="auto"/>
        <w:ind w:left="360" w:hanging="180"/>
      </w:pPr>
      <w:r>
        <w:rPr>
          <w:sz w:val="22"/>
        </w:rPr>
        <w:t xml:space="preserve">- </w:t>
      </w:r>
      <w:r>
        <w:rPr>
          <w:sz w:val="22"/>
          <w:b/>
        </w:rPr>
        <w:t xml:space="preserve">Structural Layout:</w:t>
      </w:r>
      <w:r>
        <w:rPr>
          <w:sz w:val="22"/>
        </w:rPr>
        <w:t xml:space="preserve"> Configured as two independent, close-coupled giant pod rings operating around a shared central axle core.</w:t>
      </w:r>
    </w:p>
    <w:p>
      <w:pPr>
        <w:spacing w:after="100" w:line="312" w:lineRule="auto"/>
        <w:ind w:left="360" w:hanging="180"/>
      </w:pPr>
      <w:r>
        <w:rPr>
          <w:sz w:val="22"/>
        </w:rPr>
        <w:t xml:space="preserve">- </w:t>
      </w:r>
      <w:r>
        <w:rPr>
          <w:sz w:val="22"/>
          <w:b/>
        </w:rPr>
        <w:t xml:space="preserve">Spoke Integration:</w:t>
      </w:r>
      <w:r>
        <w:rPr>
          <w:sz w:val="22"/>
        </w:rPr>
        <w:t xml:space="preserve"> High-tensile tensioned cable and truss spoke matrix projects outward from the central core to support each ring; Phase 39/42 locks adjusted to an expanded flex profile so the rims ripple safely under angular momentum.</w:t>
      </w:r>
    </w:p>
    <w:p>
      <w:pPr>
        <w:spacing w:before="240" w:after="120" w:line="312" w:lineRule="auto"/>
        <w:keepNext/>
      </w:pPr>
      <w:r>
        <w:rPr>
          <w:sz w:val="22"/>
          <w:b/>
        </w:rPr>
        <w:t xml:space="preserve">COUNTER-ROTATING THRUST DRIVE (VERBATIM)</w:t>
      </w:r>
    </w:p>
    <w:p>
      <w:pPr>
        <w:spacing w:after="100" w:line="312" w:lineRule="auto"/>
        <w:ind w:left="360" w:hanging="180"/>
      </w:pPr>
      <w:r>
        <w:rPr>
          <w:sz w:val="22"/>
        </w:rPr>
        <w:t xml:space="preserve">- </w:t>
      </w:r>
      <w:r>
        <w:rPr>
          <w:sz w:val="22"/>
          <w:b/>
        </w:rPr>
        <w:t xml:space="preserve">Opposing Nozzle Orientation:</w:t>
      </w:r>
      <w:r>
        <w:rPr>
          <w:sz w:val="22"/>
        </w:rPr>
        <w:t xml:space="preserve"> Wheel A (magnet rim) and Wheel B (coil rim) carry outer-edge Phase 37 plasma thruster heads pointed in reverse orientations on each ring face (clockwise / counter-clockwise).</w:t>
      </w:r>
    </w:p>
    <w:p>
      <w:pPr>
        <w:spacing w:after="100" w:line="312" w:lineRule="auto"/>
        <w:ind w:left="360" w:hanging="180"/>
      </w:pPr>
      <w:r>
        <w:rPr>
          <w:sz w:val="22"/>
        </w:rPr>
        <w:t xml:space="preserve">- </w:t>
      </w:r>
      <w:r>
        <w:rPr>
          <w:sz w:val="22"/>
          <w:b/>
        </w:rPr>
        <w:t xml:space="preserve">The Firework Activation:</w:t>
      </w:r>
      <w:r>
        <w:rPr>
          <w:sz w:val="22"/>
        </w:rPr>
        <w:t xml:space="preserve"> Micro-propulsion fires simultaneously, launching both rings into high-velocity, reverse rotational profiles — mirroring the dual-ignition torque curves of a pinwheel firework.</w:t>
      </w:r>
    </w:p>
    <w:p>
      <w:pPr>
        <w:spacing w:before="240" w:after="120" w:line="312" w:lineRule="auto"/>
        <w:keepNext/>
      </w:pPr>
      <w:r>
        <w:rPr>
          <w:sz w:val="22"/>
          <w:b/>
        </w:rPr>
        <w:t xml:space="preserve">LOW FRICTION INDUCTION VOLTAGE ADVANTAGE (VERBATIM)</w:t>
      </w:r>
    </w:p>
    <w:p>
      <w:pPr>
        <w:spacing w:after="100" w:line="312" w:lineRule="auto"/>
        <w:ind w:left="360" w:hanging="180"/>
      </w:pPr>
      <w:r>
        <w:rPr>
          <w:sz w:val="22"/>
        </w:rPr>
        <w:t xml:space="preserve">- The Bladeless Dynamo Matrix: Eliminates the stationary stator constraint — of the machine rotates.</w:t>
      </w:r>
    </w:p>
    <w:p>
      <w:pPr>
        <w:spacing w:after="100" w:line="312" w:lineRule="auto"/>
        <w:ind w:left="360" w:hanging="180"/>
      </w:pPr>
      <w:r>
        <w:rPr>
          <w:sz w:val="22"/>
        </w:rPr>
        <w:t xml:space="preserve">- </w:t>
      </w:r>
      <w:r>
        <w:rPr>
          <w:sz w:val="22"/>
          <w:b/>
        </w:rPr>
        <w:t xml:space="preserve">Magnetic-Coil Interface:</w:t>
      </w:r>
      <w:r>
        <w:rPr>
          <w:sz w:val="22"/>
        </w:rPr>
        <w:t xml:space="preserve"> Wheel A interior rims carry heavy Phase 38 industrial induction magnets while Wheel B interior rims carry high-density copper coil matrices.</w:t>
      </w:r>
    </w:p>
    <w:p>
      <w:pPr>
        <w:spacing w:after="100" w:line="312" w:lineRule="auto"/>
        <w:ind w:left="360" w:hanging="180"/>
      </w:pPr>
      <w:r>
        <w:rPr>
          <w:sz w:val="22"/>
        </w:rPr>
        <w:t xml:space="preserve">- </w:t>
      </w:r>
      <w:r>
        <w:rPr>
          <w:sz w:val="22"/>
          <w:b/>
        </w:rPr>
        <w:t xml:space="preserve">Relative Speed Multiplication:</w:t>
      </w:r>
      <w:r>
        <w:rPr>
          <w:sz w:val="22"/>
        </w:rPr>
        <w:t xml:space="preserve"> Counter-directional rotation doubles the velocity at which the coils cut the magnetic flux lines, multiplying electrical yields across the gap.</w:t>
      </w:r>
    </w:p>
    <w:p>
      <w:pPr>
        <w:spacing w:after="100" w:line="312" w:lineRule="auto"/>
        <w:ind w:left="360" w:hanging="180"/>
      </w:pPr>
      <w:r>
        <w:rPr>
          <w:sz w:val="22"/>
        </w:rPr>
        <w:t xml:space="preserve">- </w:t>
      </w:r>
      <w:r>
        <w:rPr>
          <w:sz w:val="22"/>
          <w:b/>
        </w:rPr>
        <w:t xml:space="preserve">Infrastructure Delivery:</w:t>
      </w:r>
      <w:r>
        <w:rPr>
          <w:sz w:val="22"/>
        </w:rPr>
        <w:t xml:space="preserve"> Induced high-voltage direct current (DC) is routed friction-free to fuel adjacent Phase 43 Orbital Data Cities.</w:t>
      </w:r>
    </w:p>
    <w:p>
      <w:pPr>
        <w:spacing w:before="240" w:after="120" w:line="312" w:lineRule="auto"/>
        <w:keepNext/>
      </w:pPr>
      <w:r>
        <w:rPr>
          <w:sz w:val="22"/>
          <w:b/>
        </w:rPr>
        <w:t xml:space="preserve">PHASE 44 UPDATED: PERIMETER SOLAR INTERLOCK &amp; LENZ'S LAW NEUTRALIZATION </w:t>
      </w:r>
      <w:r>
        <w:rPr>
          <w:sz w:val="18"/>
          <w:i/>
        </w:rPr>
        <w:t xml:space="preserve">[WORDING REPLACED 14 AUGUST 2026 — author's order '44 replace', per the external vet's seated suggestion (vet batch 12): 'counter-rotation doubles the relative tangential velocity at the induction interface; the additional mechanical energy and Lenz reaction torque are supplied by the drive system.' Read the phase under that sentence: nothing is neutralized — the drive system supplies the reaction energy and torque]</w:t>
      </w:r>
      <w:r>
        <w:rPr>
          <w:sz w:val="22"/>
          <w:b/>
        </w:rPr>
        <w:t xml:space="preserve"> (VERBATIM)</w:t>
      </w:r>
    </w:p>
    <w:p>
      <w:pPr>
        <w:spacing w:after="100" w:line="312" w:lineRule="auto"/>
        <w:ind w:left="360" w:hanging="180"/>
      </w:pPr>
      <w:r>
        <w:rPr>
          <w:sz w:val="22"/>
        </w:rPr>
        <w:t xml:space="preserve">- </w:t>
      </w:r>
      <w:r>
        <w:rPr>
          <w:sz w:val="22"/>
          <w:b/>
        </w:rPr>
        <w:t xml:space="preserve">Perimeter Solar Leverage Array:</w:t>
      </w:r>
      <w:r>
        <w:rPr>
          <w:sz w:val="22"/>
        </w:rPr>
        <w:t xml:space="preserve"> The outermost circumferences of the giant Wheel A and Wheel B pod rings are sheathed in high-efficiency solar collection arrays — exploiting maximum rotational leverage at the furthest radius from the axle.</w:t>
      </w:r>
    </w:p>
    <w:p>
      <w:pPr>
        <w:spacing w:after="100" w:line="312" w:lineRule="auto"/>
        <w:ind w:left="360" w:hanging="180"/>
      </w:pPr>
      <w:r>
        <w:t>- Lenz's Law Drag Neutralization: Induced perimeter solar current is routed directly to the outermost Phase 11/37 edge plasma thrusters, delivering continuous automated counter-thrust that matches the Lenz's Law magnetic back-torque, maintaining counter-rotational speed with minimal reserve depletion. NB — the mechanism: rockets spin; energy in; it converts to electricity — just like Earth. The variance of zero-g and no atmosphere yields more energy than Earth could get. The twin rotating rings simply provide more energy than one ring against a static wall, so slower revolutions are required than for a single ring. Lenz slows the ring — rockets tap to replace the energy. This is basic physics and good engineering.</w:t>
      </w:r>
    </w:p>
    <w:p>
      <w:pPr>
        <w:spacing w:before="240" w:after="120" w:line="312" w:lineRule="auto"/>
        <w:keepNext/>
      </w:pPr>
      <w:r>
        <w:rPr>
          <w:sz w:val="22"/>
          <w:b/>
        </w:rPr>
        <w:t xml:space="preserve">ORIGIN OF THOUGHT — PHASE 44 (VERBATIM)</w:t>
      </w:r>
    </w:p>
    <w:p>
      <w:pPr>
        <w:spacing w:before="0" w:after="120" w:line="312" w:lineRule="auto"/>
      </w:pPr>
      <w:r>
        <w:rPr>
          <w:sz w:val="22"/>
        </w:rPr>
        <w:t xml:space="preserve">Archer, 8:24 pm, 16 July: "Better: understanding the Mayernick was a tapping system for the rotor drive in the center of the ship — we use solar instead in earth's orbit at the tapping device, or the Lenz-law gap filler. Two giant pod rings, purpose-built with larger flex capacities, a large spoke system built central to each and a central axle point — so two bike wheels close to each other on a short axle, each with opposing thrusters. One side large industrial induction magnets, the other all coils. You don't just have the world's largest bladeless turbine — in a turbine only one set moves. In this set, it's like two pinwheel fireworks stuck together in opposite directions of thrust. Actually common at fireworks displays." And one minute later: "The solar on the outer provides the additional power to counter friction and Lenz law losses in momentum."</w:t>
      </w:r>
    </w:p>
    <w:p>
      <w:pPr>
        <w:spacing w:before="0" w:after="120" w:line="312" w:lineRule="auto"/>
      </w:pPr>
      <w:r>
        <w:rPr>
          <w:sz w:val="22"/>
          <w:b/>
        </w:rPr>
        <w:t xml:space="preserve">Why it matters, in plain English:</w:t>
      </w:r>
      <w:r>
        <w:rPr>
          <w:sz w:val="22"/>
        </w:rPr>
        <w:t xml:space="preserve"> every generator on Earth wastes half its potential — the coils sit still while only the magnets move (or vice versa). Archer spun both, in opposite directions, doubling the cutting speed for free. And he was honest about the tax: generating electricity creates magnetic drag (Lenz's Law), so solar panels on the rim feed thrusters that pay the drag back at the point of maximum leverage. A generator that openly accounts for its own friction instead of pretending it doesn't exist.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2v INTERFACE, AFFIRMED AS REAL PHYSICS: if one ring moves at +v and the other at -v, the relative tangential speed at the induction gap is 2v — the same counter-rotation physics the Archurian Sentinel line already seats. The vet graded it plainly: 'So that part is real physics.'</w:t>
      </w:r>
    </w:p>
    <w:p>
      <w:pPr>
        <w:spacing w:before="0" w:after="120" w:line="312" w:lineRule="auto"/>
      </w:pPr>
      <w:r>
        <w:rPr>
          <w:sz w:val="22"/>
        </w:rPr>
        <w:t xml:space="preserve">THE ENERGY CHAIN, AFFIRMED AS HONEST — WORDING FIXED IN THE LAW: the relative velocity doubles; the energy does not double for free. The rings must be accelerated, and when the generator supplies power, electromagnetic reaction torque appears. The seated update says it the vet's way: solar energy → propulsion torque → rotational kinetic energy → electromagnetic conversion → electrical output. No free energy in the counter-rotation — and the design pays its way with perimeter solar, which is the right physical direction.</w:t>
      </w:r>
    </w:p>
    <w:p>
      <w:pPr>
        <w:spacing w:before="0" w:after="120" w:line="312" w:lineRule="auto"/>
      </w:pPr>
      <w:r>
        <w:rPr>
          <w:sz w:val="22"/>
        </w:rPr>
        <w:t xml:space="preserve">THE BLADELESS DYNAMO, AFFIRMED AS ARCHITECTURE: eliminating the stationary stator — the whole machine rotates — removes the bearing-and-brush bottleneck of terrestrial dynamos; the pod-ring construction rides the project's own mass-manufactured cube hardware instead of a bespoke rotor forge.</w:t>
      </w:r>
    </w:p>
    <w:p>
      <w:pPr>
        <w:spacing w:before="0" w:after="120" w:line="312" w:lineRule="auto"/>
      </w:pPr>
      <w:r>
        <w:rPr>
          <w:sz w:val="22"/>
        </w:rPr>
        <w:t xml:space="preserve">THE GENTLE-RPM POSTURE, AFFIRMED: wide-radius rings at ultra-low structural RPM while the induction blocks slice flux at extreme relative passing velocities — the rim lives easy while the gap works hard; the Phase 39/42 locks ride an expanded flex profile so the rims ripple safely under angular momentum.</w:t>
      </w:r>
    </w:p>
    <w:p>
      <w:pPr>
        <w:spacing w:before="360" w:after="160" w:line="312" w:lineRule="auto"/>
        <w:keepNext/>
      </w:pPr>
      <w:r>
        <w:rPr>
          <w:sz w:val="24"/>
          <w:b/>
        </w:rPr>
        <w:t xml:space="preserve">§3 — THE SYSTEM IN THE RING PAIR</w:t>
      </w:r>
    </w:p>
    <w:p>
      <w:pPr>
        <w:spacing w:after="100" w:line="312" w:lineRule="auto"/>
        <w:ind w:left="360" w:hanging="180"/>
      </w:pPr>
      <w:r>
        <w:rPr>
          <w:sz w:val="22"/>
        </w:rPr>
        <w:t xml:space="preserve">- </w:t>
      </w:r>
      <w:r>
        <w:rPr>
          <w:sz w:val="22"/>
        </w:rPr>
        <w:t xml:space="preserve">THE TWIN WHEELS: two independent, close-coupled giant pod rings on a shared central axle core; high-tensile tensioned cable-and-truss spokes supporting each ring; Phase 39/42 locks at an expanded flex profile so the rims ripple safely under angular momentum.</w:t>
      </w:r>
    </w:p>
    <w:p>
      <w:pPr>
        <w:spacing w:after="100" w:line="312" w:lineRule="auto"/>
        <w:ind w:left="360" w:hanging="180"/>
      </w:pPr>
      <w:r>
        <w:rPr>
          <w:sz w:val="22"/>
        </w:rPr>
        <w:t xml:space="preserve">- </w:t>
      </w:r>
      <w:r>
        <w:rPr>
          <w:sz w:val="22"/>
        </w:rPr>
        <w:t xml:space="preserve">THE COUNTER-ROTATION: Wheel A (magnet rim) and Wheel B (coil rim) carrying outer-edge Phase 37 plasma thruster heads in reverse orientations — the pinwheel firework activation launching both rings into high-velocity reverse rotation.</w:t>
      </w:r>
    </w:p>
    <w:p>
      <w:pPr>
        <w:spacing w:after="100" w:line="312" w:lineRule="auto"/>
        <w:ind w:left="360" w:hanging="180"/>
      </w:pPr>
      <w:r>
        <w:rPr>
          <w:sz w:val="22"/>
        </w:rPr>
        <w:t xml:space="preserve">- </w:t>
      </w:r>
      <w:r>
        <w:rPr>
          <w:sz w:val="22"/>
        </w:rPr>
        <w:t xml:space="preserve">THE GAP: Wheel A's interior rims carry Phase 38 industrial induction magnets, Wheel B's carry high-density copper coil matrices — counter-directional rotation doubling the flux-cutting speed across the gap.</w:t>
      </w:r>
    </w:p>
    <w:p>
      <w:pPr>
        <w:spacing w:after="100" w:line="312" w:lineRule="auto"/>
        <w:ind w:left="360" w:hanging="180"/>
      </w:pPr>
      <w:r>
        <w:rPr>
          <w:sz w:val="22"/>
        </w:rPr>
        <w:t xml:space="preserve">- </w:t>
      </w:r>
      <w:r>
        <w:rPr>
          <w:sz w:val="22"/>
        </w:rPr>
        <w:t xml:space="preserve">THE SOLAR PERIMETER: the outermost circumferences sheathed in high-efficiency solar collection arrays — maximum leverage at the furthest radius from the axle.</w:t>
      </w:r>
    </w:p>
    <w:p>
      <w:pPr>
        <w:spacing w:after="100" w:line="312" w:lineRule="auto"/>
        <w:ind w:left="360" w:hanging="180"/>
      </w:pPr>
      <w:r>
        <w:rPr>
          <w:sz w:val="22"/>
        </w:rPr>
        <w:t xml:space="preserve">- </w:t>
      </w:r>
      <w:r>
        <w:rPr>
          <w:sz w:val="22"/>
        </w:rPr>
        <w:t xml:space="preserve">THE LENZ COMPENSATION: induced perimeter solar current routed directly to the outermost Phase 11/37 edge plasma thrusters — continuous automated counter-thrust matching the magnetic back-torque, holding the rotation.</w:t>
      </w:r>
    </w:p>
    <w:p>
      <w:pPr>
        <w:spacing w:after="100" w:line="312" w:lineRule="auto"/>
        <w:ind w:left="360" w:hanging="180"/>
      </w:pPr>
      <w:r>
        <w:rPr>
          <w:sz w:val="22"/>
        </w:rPr>
        <w:t xml:space="preserve">- </w:t>
      </w:r>
      <w:r>
        <w:rPr>
          <w:sz w:val="22"/>
        </w:rPr>
        <w:t xml:space="preserve">THE DELIVERY: induced high-voltage DC routed friction-free to fuel the adjacent Phase 43 Orbital Data Cities.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BOTH-SPIN DOCTRINE (the origin, seated): 'every generator on Earth wastes half its potential — the coils sit still while only the magnets move (or vice versa). Archer spun both, in opposite directions... And he was honest about the catch' (16 July) — the Lenz compensation was designed in, not discovered later.</w:t>
      </w:r>
    </w:p>
    <w:p>
      <w:pPr>
        <w:spacing w:after="100" w:line="312" w:lineRule="auto"/>
        <w:ind w:left="360" w:hanging="180"/>
      </w:pPr>
      <w:r>
        <w:rPr>
          <w:sz w:val="22"/>
        </w:rPr>
        <w:t xml:space="preserve">- </w:t>
      </w:r>
      <w:r>
        <w:rPr>
          <w:sz w:val="22"/>
        </w:rPr>
        <w:t xml:space="preserve">THE PUBLISHED-FIRST RIDER (his, on the contents line, verbatim): 'Yes published here first before SpaceX and China announced theirs, and open source is the point.'</w:t>
      </w:r>
    </w:p>
    <w:p>
      <w:pPr>
        <w:spacing w:after="100" w:line="312" w:lineRule="auto"/>
        <w:ind w:left="360" w:hanging="180"/>
      </w:pPr>
      <w:r>
        <w:rPr>
          <w:sz w:val="22"/>
        </w:rPr>
        <w:t xml:space="preserve">- </w:t>
      </w:r>
      <w:r>
        <w:rPr>
          <w:sz w:val="22"/>
        </w:rPr>
        <w:t xml:space="preserve">THE TERMINOLOGY DISCIPLINE (the vet's suggestion, seated 14 August on his order '44 replace'): 'counter-rotation doubles the relative tangential velocity at the induction interface; the additional mechanical energy and Lenz reaction torque are supplied by the drive' — machine-readable physics, so no future reader mistakes it for free energy.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Frame the axle: the shared central core and the tensioned spoke matrix; rim ripple verified against the expanded Phase 39/42 flex profile before any rotation.</w:t>
      </w:r>
    </w:p>
    <w:p>
      <w:pPr>
        <w:spacing w:after="100" w:line="312" w:lineRule="auto"/>
        <w:ind w:left="360" w:hanging="180"/>
      </w:pPr>
      <w:r>
        <w:rPr>
          <w:sz w:val="22"/>
        </w:rPr>
        <w:t xml:space="preserve">- </w:t>
      </w:r>
      <w:r>
        <w:rPr>
          <w:sz w:val="22"/>
        </w:rPr>
        <w:t xml:space="preserve">STEP 2 — Populate the rims: Wheel A magnet blocks (Phase 38) and Wheel B coil matrices; gap geometry and flux-cutting speed mapped across the radius.</w:t>
      </w:r>
    </w:p>
    <w:p>
      <w:pPr>
        <w:spacing w:after="100" w:line="312" w:lineRule="auto"/>
        <w:ind w:left="360" w:hanging="180"/>
      </w:pPr>
      <w:r>
        <w:rPr>
          <w:sz w:val="22"/>
        </w:rPr>
        <w:t xml:space="preserve">- </w:t>
      </w:r>
      <w:r>
        <w:rPr>
          <w:sz w:val="22"/>
        </w:rPr>
        <w:t xml:space="preserve">STEP 3 — Sheath the perimeter: the solar arrays at the outermost circumference; output budgeted against the Lenz counter-thrust demand (§9).</w:t>
      </w:r>
    </w:p>
    <w:p>
      <w:pPr>
        <w:spacing w:after="100" w:line="312" w:lineRule="auto"/>
        <w:ind w:left="360" w:hanging="180"/>
      </w:pPr>
      <w:r>
        <w:rPr>
          <w:sz w:val="22"/>
        </w:rPr>
        <w:t xml:space="preserve">- </w:t>
      </w:r>
      <w:r>
        <w:rPr>
          <w:sz w:val="22"/>
        </w:rPr>
        <w:t xml:space="preserve">STEP 4 — Spin the pinwheel: Phase 37 edge heads in reverse orientation; staged counter-rotation trials — gentle structural RPM first, interface velocity last.</w:t>
      </w:r>
    </w:p>
    <w:p>
      <w:pPr>
        <w:spacing w:after="100" w:line="312" w:lineRule="auto"/>
        <w:ind w:left="360" w:hanging="180"/>
      </w:pPr>
      <w:r>
        <w:rPr>
          <w:sz w:val="22"/>
        </w:rPr>
        <w:t xml:space="preserve">- </w:t>
      </w:r>
      <w:r>
        <w:rPr>
          <w:sz w:val="22"/>
        </w:rPr>
        <w:t xml:space="preserve">STEP 5 — Close the energy chain: solar → counter-thrust → rotation → induction → DC output, measured end to end; the delivered power routed to a Phase 43 load bank.</w:t>
      </w:r>
    </w:p>
    <w:p>
      <w:pPr>
        <w:spacing w:after="100" w:line="312" w:lineRule="auto"/>
        <w:ind w:left="360" w:hanging="180"/>
      </w:pPr>
      <w:r>
        <w:rPr>
          <w:sz w:val="22"/>
        </w:rPr>
        <w:t xml:space="preserve">- </w:t>
      </w:r>
      <w:r>
        <w:rPr>
          <w:sz w:val="22"/>
        </w:rPr>
        <w:t xml:space="preserve">STEP 6 — Publish the ledger: input solar, reaction torque, rotational energy, electrical output — the honest books, open source, as the rider says.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38 — the asymmetry phase (GP-IM-038): the industrial induction magnets on Wheel A's rim.</w:t>
      </w:r>
    </w:p>
    <w:p>
      <w:pPr>
        <w:spacing w:after="100" w:line="312" w:lineRule="auto"/>
        <w:ind w:left="360" w:hanging="180"/>
      </w:pPr>
      <w:r>
        <w:rPr>
          <w:sz w:val="22"/>
        </w:rPr>
        <w:t xml:space="preserve">- </w:t>
      </w:r>
      <w:r>
        <w:rPr>
          <w:sz w:val="22"/>
        </w:rPr>
        <w:t xml:space="preserve">PHASE 37 — the rail thrusters (GP-IM-037 v1.1): the edge plasma heads that spin and hold the pinwheel.</w:t>
      </w:r>
    </w:p>
    <w:p>
      <w:pPr>
        <w:spacing w:after="100" w:line="312" w:lineRule="auto"/>
        <w:ind w:left="360" w:hanging="180"/>
      </w:pPr>
      <w:r>
        <w:rPr>
          <w:sz w:val="22"/>
        </w:rPr>
        <w:t xml:space="preserve">- </w:t>
      </w:r>
      <w:r>
        <w:rPr>
          <w:sz w:val="22"/>
        </w:rPr>
        <w:t xml:space="preserve">PHASES 39/42 — the locks (GP-IM-039/042): the expanded flex profile letting the rims ripple safely.</w:t>
      </w:r>
    </w:p>
    <w:p>
      <w:pPr>
        <w:spacing w:after="100" w:line="312" w:lineRule="auto"/>
        <w:ind w:left="360" w:hanging="180"/>
      </w:pPr>
      <w:r>
        <w:rPr>
          <w:sz w:val="22"/>
        </w:rPr>
        <w:t xml:space="preserve">- </w:t>
      </w:r>
      <w:r>
        <w:rPr>
          <w:sz w:val="22"/>
        </w:rPr>
        <w:t xml:space="preserve">PHASE 43 — the data ring cities (GP-IM-043): the customer — the DC delivery feeds the orbital compute.</w:t>
      </w:r>
    </w:p>
    <w:p>
      <w:pPr>
        <w:spacing w:after="100" w:line="312" w:lineRule="auto"/>
        <w:ind w:left="360" w:hanging="180"/>
      </w:pPr>
      <w:r>
        <w:rPr>
          <w:sz w:val="22"/>
        </w:rPr>
        <w:t xml:space="preserve">- </w:t>
      </w:r>
      <w:r>
        <w:rPr>
          <w:sz w:val="22"/>
        </w:rPr>
        <w:t xml:space="preserve">PHASE 45 — the air-core alternators (GP-IM-045): the concentric inner dynamo family floating inside the Phase 43 ring — the same induction doctrine at the next scale down.</w:t>
      </w:r>
    </w:p>
    <w:p>
      <w:pPr>
        <w:spacing w:after="100" w:line="312" w:lineRule="auto"/>
        <w:ind w:left="360" w:hanging="180"/>
      </w:pPr>
      <w:r>
        <w:rPr>
          <w:sz w:val="22"/>
        </w:rPr>
        <w:t xml:space="preserve">- </w:t>
      </w:r>
      <w:r>
        <w:rPr>
          <w:sz w:val="22"/>
        </w:rPr>
        <w:t xml:space="preserve">PHASE 11 — the plasma cells (GP-IM-011): the counter-thrust hardware on the perimeter.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say 'double output' or 'free speed' — the wording fix is seated law: relative velocity doubles, energy is supplied (§1, §5).</w:t>
      </w:r>
    </w:p>
    <w:p>
      <w:pPr>
        <w:spacing w:after="100" w:line="312" w:lineRule="auto"/>
        <w:ind w:left="360" w:hanging="180"/>
      </w:pPr>
      <w:r>
        <w:rPr>
          <w:sz w:val="22"/>
        </w:rPr>
        <w:t xml:space="preserve">- </w:t>
      </w:r>
      <w:r>
        <w:rPr>
          <w:sz w:val="22"/>
        </w:rPr>
        <w:t xml:space="preserve">NEVER draw power without feeding the counter-thrust — Lenz reaction torque is continuous; uncompensated generation is a brake (§1, §2).</w:t>
      </w:r>
    </w:p>
    <w:p>
      <w:pPr>
        <w:spacing w:after="100" w:line="312" w:lineRule="auto"/>
        <w:ind w:left="360" w:hanging="180"/>
      </w:pPr>
      <w:r>
        <w:rPr>
          <w:sz w:val="22"/>
        </w:rPr>
        <w:t xml:space="preserve">- </w:t>
      </w:r>
      <w:r>
        <w:rPr>
          <w:sz w:val="22"/>
        </w:rPr>
        <w:t xml:space="preserve">NO stator thinking — the machine rotates as a whole; do not reintroduce stationary-frame constraints (§1).</w:t>
      </w:r>
    </w:p>
    <w:p>
      <w:pPr>
        <w:spacing w:after="100" w:line="312" w:lineRule="auto"/>
        <w:ind w:left="360" w:hanging="180"/>
      </w:pPr>
      <w:r>
        <w:rPr>
          <w:sz w:val="22"/>
        </w:rPr>
        <w:t xml:space="preserve">- </w:t>
      </w:r>
      <w:r>
        <w:rPr>
          <w:sz w:val="22"/>
        </w:rPr>
        <w:t xml:space="preserve">NEVER spin past the rim's flex certification — gentle structural RPM is the posture; the gap does the work, not the rim (§2, §6).</w:t>
      </w:r>
    </w:p>
    <w:p>
      <w:pPr>
        <w:spacing w:before="360" w:after="160" w:line="312" w:lineRule="auto"/>
        <w:keepNext/>
      </w:pPr>
      <w:r>
        <w:rPr>
          <w:sz w:val="24"/>
          <w:b/>
        </w:rPr>
        <w:t xml:space="preserve">§9 — OWED</w:t>
      </w:r>
    </w:p>
    <w:p>
      <w:pPr>
        <w:spacing w:before="0" w:after="120" w:line="312" w:lineRule="auto"/>
      </w:pPr>
      <w:r>
        <w:t>PROPELLANT AND SIZING LAW: there is no bench for this design — a city-sized ring pair does not fit on any Earth bench; the physics of §2 is the proof. Propellant amount is determined by the builder's choice of size. The propellant is the same family as the Phase 11/37 plasma-thruster gas, but NOT liquid: bottle storage, with the bottles riding the rings at equal balanced spacing — or riding in orbit beside the rings.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GP-IM-044, v1.0 — CURRENT, seated law, master v2.1 (numerical print order). Built 21 August 2026, seventh of the 'next 10' shift.</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pPr>
        <w:spacing w:before="0" w:after="120" w:line="312" w:lineRule="auto"/>
      </w:pPr>
      <w:r>
        <w:rPr>
          <w:sz w:val="22"/>
        </w:rPr>
        <w:t xml:space="preserve">END OF CHAPTER 44</w:t>
      </w:r>
    </w:p>
    <w:sectPr>
      <w:footerReference xmlns:r="http://schemas.openxmlformats.org/officeDocument/2006/relationships" w:type="default" r:id="R35dc3c2373654c5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89d946c68ff47e9" Type="http://schemas.openxmlformats.org/officeDocument/2006/relationships/styles" Target="styles.xml"/><Relationship Id="R35dc3c2373654c5b" Type="http://schemas.openxmlformats.org/officeDocument/2006/relationships/footer" Target="footer1.xml"/><Relationship Id="R3b73f9eceb624eee" Type="http://schemas.openxmlformats.org/officeDocument/2006/relationships/image" Target="../media/image.png"/></Relationships>
</file>