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6337ecc48924bb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45.png"/>
                    <pic:cNvPicPr/>
                  </pic:nvPicPr>
                  <pic:blipFill>
                    <a:blip xmlns:r="http://schemas.openxmlformats.org/officeDocument/2006/relationships" r:embed="Rd68cd5e1a70f4a0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45</w:t>
      </w:r>
    </w:p>
    <w:p>
      <w:pPr>
        <w:spacing w:before="0" w:after="120" w:line="312" w:lineRule="auto"/>
      </w:pPr>
      <w:r>
        <w:t>PHASE 45: DATA CENTRES — ENERGY TRANSFERENCE FROM THE PHASE 44 RING SET (MICROWAVE BEAMING) — STATUS: CURRENT. The data centre sits INSIDE the Phase 44 ring set, and the ring set provides the energy: air-core coreless induction at the source, near-field resonant microwave beaming across the gap, rectenna reclamation at the hull — exactly as described in this chapter.</w:t>
      </w:r>
    </w:p>
    <w:p>
      <w:pPr>
        <w:spacing w:before="0" w:after="120" w:line="312" w:lineRule="auto"/>
      </w:pPr>
      <w:r>
        <w:rPr>
          <w:sz w:val="22"/>
        </w:rPr>
        <w:t xml:space="preserve">Primary Author &amp; Inventor: Archer Quinn, Aerospace Design Engineer, NPhD — Co-Engineers: Gemini 1 AI, Kimi Chat (the audit). Chapter GP-IM-045,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coreless law as seated (contents line, the four design bodies, the origin — verbatim) — §2 why it works (air-core and resonant transfer, graded) — §3 the system inside the ring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45: </w:t>
      </w:r>
      <w:r>
        <w:rPr>
          <w:sz w:val="22"/>
          <w:b/>
        </w:rPr>
        <w:t>Air-Core Coreless Alternators &amp; Microwave Beaming.</w:t>
      </w:r>
      <w:r>
        <w:rPr>
          <w:sz w:val="22"/>
        </w:rPr>
        <w:t xml:space="preserve"> Eliminates heavy iron cores and parasitic eddy-current magnetic drag. Utilizes lightweight air-core copper coil matrices to generate current, linked to phased-array microwave transmitters for wireless power routing.'</w:t>
      </w:r>
    </w:p>
    <w:p>
      <w:pPr>
        <w:spacing w:before="0" w:after="120" w:line="312" w:lineRule="auto"/>
      </w:pPr>
      <w:r>
        <w:rPr>
          <w:sz w:val="22"/>
        </w:rPr>
        <w:t xml:space="preserve">THE CORE OBJECTIVE (verbatim): 'Core Objective: Elimination of Cogging-Torque Drag &amp; Wire-Based Power Transfer'</w:t>
      </w:r>
    </w:p>
    <w:p>
      <w:pPr>
        <w:spacing w:before="240" w:after="120" w:line="312" w:lineRule="auto"/>
        <w:keepNext/>
      </w:pPr>
      <w:r>
        <w:rPr>
          <w:sz w:val="22"/>
          <w:b/>
        </w:rPr>
        <w:t xml:space="preserve">CORELESS AIR-FRAME FIELD GENERATION (VERBATIM)</w:t>
      </w:r>
    </w:p>
    <w:p>
      <w:pPr>
        <w:spacing w:after="100" w:line="312" w:lineRule="auto"/>
        <w:ind w:left="360" w:hanging="180"/>
      </w:pPr>
      <w:r>
        <w:rPr>
          <w:sz w:val="22"/>
        </w:rPr>
        <w:t xml:space="preserve">- Design Mandate: elimination of heavy iron-slotted cores within the induction architecture.</w:t>
      </w:r>
    </w:p>
    <w:p>
      <w:pPr>
        <w:spacing w:after="100" w:line="312" w:lineRule="auto"/>
        <w:ind w:left="360" w:hanging="180"/>
      </w:pPr>
      <w:r>
        <w:rPr>
          <w:sz w:val="22"/>
        </w:rPr>
        <w:t xml:space="preserve">- </w:t>
      </w:r>
      <w:r>
        <w:rPr>
          <w:sz w:val="22"/>
          <w:b/>
        </w:rPr>
        <w:t xml:space="preserve">Structural Matrix:</w:t>
      </w:r>
      <w:r>
        <w:rPr>
          <w:sz w:val="22"/>
        </w:rPr>
        <w:t xml:space="preserve"> Casts high-density copper wire coils within non-magnetic composite frames — an Air-Core / Coreless Induction Matrix.</w:t>
      </w:r>
    </w:p>
    <w:p>
      <w:pPr>
        <w:spacing w:after="100" w:line="312" w:lineRule="auto"/>
        <w:ind w:left="360" w:hanging="180"/>
      </w:pPr>
      <w:r>
        <w:t>- Momentum Optimization: the ring-set mechanics — cogging-free air-core induction, counter-rotation, Lenz counter-thrust — belong to Phase 44, which houses and feeds this data centre; the energy comes from the 44 ring set.</w:t>
      </w:r>
    </w:p>
    <w:p>
      <w:pPr>
        <w:spacing w:before="240" w:after="120" w:line="312" w:lineRule="auto"/>
        <w:keepNext/>
      </w:pPr>
      <w:r>
        <w:rPr>
          <w:sz w:val="22"/>
          <w:b/>
        </w:rPr>
        <w:t xml:space="preserve">FLOATING CONCENTRIC INNER-CORE PLACEMENT (VERBATIM)</w:t>
      </w:r>
    </w:p>
    <w:p>
      <w:pPr>
        <w:spacing w:after="100" w:line="312" w:lineRule="auto"/>
        <w:ind w:left="360" w:hanging="180"/>
      </w:pPr>
      <w:r>
        <w:t>- Mechanical Isolation: the data centre floats inside the Phase 44 ring set — the counter-rotating dynamo is 44's hardware, and this phase rides within it, never physically touching it.</w:t>
      </w:r>
    </w:p>
    <w:p>
      <w:pPr>
        <w:spacing w:after="100" w:line="312" w:lineRule="auto"/>
        <w:ind w:left="360" w:hanging="180"/>
      </w:pPr>
      <w:r>
        <w:rPr>
          <w:sz w:val="22"/>
        </w:rPr>
        <w:t xml:space="preserve">- </w:t>
      </w:r>
      <w:r>
        <w:rPr>
          <w:sz w:val="22"/>
          <w:b/>
        </w:rPr>
        <w:t xml:space="preserve">Alignment Vector:</w:t>
      </w:r>
      <w:r>
        <w:rPr>
          <w:sz w:val="22"/>
        </w:rPr>
        <w:t xml:space="preserve"> Employs Phase 38 non-linear magnetic gradients as a non-contact stabilization cushion, bypassing physical bearings entirely.</w:t>
      </w:r>
    </w:p>
    <w:p>
      <w:pPr>
        <w:spacing w:before="240" w:after="120" w:line="312" w:lineRule="auto"/>
        <w:keepNext/>
      </w:pPr>
      <w:r>
        <w:rPr>
          <w:sz w:val="22"/>
          <w:b/>
        </w:rPr>
        <w:t xml:space="preserve">MICROWAVE PHASED-ARRAY ENERGY BEAMING (VERBATIM)</w:t>
      </w:r>
    </w:p>
    <w:p>
      <w:pPr>
        <w:spacing w:after="100" w:line="312" w:lineRule="auto"/>
        <w:ind w:left="360" w:hanging="180"/>
      </w:pPr>
      <w:r>
        <w:rPr>
          <w:sz w:val="22"/>
        </w:rPr>
        <w:t xml:space="preserve">- </w:t>
      </w:r>
      <w:r>
        <w:rPr>
          <w:sz w:val="22"/>
          <w:b/>
        </w:rPr>
        <w:t xml:space="preserve">Transmission Interface:</w:t>
      </w:r>
      <w:r>
        <w:rPr>
          <w:sz w:val="22"/>
        </w:rPr>
        <w:t xml:space="preserve"> Converts induced dynamo electricity into high-frequency focused microwave beams via integrated phased-array transmitters.</w:t>
      </w:r>
    </w:p>
    <w:p>
      <w:pPr>
        <w:spacing w:after="100" w:line="312" w:lineRule="auto"/>
        <w:ind w:left="360" w:hanging="180"/>
      </w:pPr>
      <w:r>
        <w:rPr>
          <w:sz w:val="22"/>
        </w:rPr>
        <w:t xml:space="preserve">- </w:t>
      </w:r>
      <w:r>
        <w:rPr>
          <w:sz w:val="22"/>
          <w:b/>
        </w:rPr>
        <w:t xml:space="preserve">Vacuum Transfer Vector:</w:t>
      </w:r>
      <w:r>
        <w:rPr>
          <w:sz w:val="22"/>
        </w:rPr>
        <w:t xml:space="preserve"> Exploits the airless orbital void to transfer power across short spatial gaps with 0% atmospheric scatter or refraction loss.</w:t>
      </w:r>
    </w:p>
    <w:p>
      <w:pPr>
        <w:spacing w:before="240" w:after="120" w:line="312" w:lineRule="auto"/>
        <w:keepNext/>
      </w:pPr>
      <w:r>
        <w:rPr>
          <w:sz w:val="22"/>
          <w:b/>
        </w:rPr>
        <w:t xml:space="preserve">RECTENNA MATRIX RECLAMATION REVERSE LOOP (VERBATIM)</w:t>
      </w:r>
    </w:p>
    <w:p>
      <w:pPr>
        <w:spacing w:after="100" w:line="312" w:lineRule="auto"/>
        <w:ind w:left="360" w:hanging="180"/>
      </w:pPr>
      <w:r>
        <w:rPr>
          <w:sz w:val="22"/>
        </w:rPr>
        <w:t xml:space="preserve">- </w:t>
      </w:r>
      <w:r>
        <w:rPr>
          <w:sz w:val="22"/>
          <w:b/>
        </w:rPr>
        <w:t xml:space="preserve">Absorption Layer:</w:t>
      </w:r>
      <w:r>
        <w:rPr>
          <w:sz w:val="22"/>
        </w:rPr>
        <w:t xml:space="preserve"> Internal hull profiles of the surrounding Block-of-9 ring are lined with high-efficiency Rectifying Antenna (Rectenna) sheets.</w:t>
      </w:r>
    </w:p>
    <w:p>
      <w:pPr>
        <w:spacing w:after="100" w:line="312" w:lineRule="auto"/>
        <w:ind w:left="360" w:hanging="180"/>
      </w:pPr>
      <w:r>
        <w:rPr>
          <w:sz w:val="22"/>
        </w:rPr>
        <w:t xml:space="preserve">- </w:t>
      </w:r>
      <w:r>
        <w:rPr>
          <w:sz w:val="22"/>
          <w:b/>
        </w:rPr>
        <w:t xml:space="preserve">Power Delivery:</w:t>
      </w:r>
      <w:r>
        <w:rPr>
          <w:sz w:val="22"/>
        </w:rPr>
        <w:t xml:space="preserve"> Rectennas capture the incoming microwave fields and restore high-voltage DC current, feeding the energy straight down Phase 13 segmented bus tracks to power the server matrix with zero mechanical wear.</w:t>
      </w:r>
    </w:p>
    <w:p>
      <w:pPr>
        <w:spacing w:before="240" w:after="120" w:line="312" w:lineRule="auto"/>
        <w:keepNext/>
      </w:pPr>
      <w:r>
        <w:rPr>
          <w:sz w:val="22"/>
          <w:b/>
        </w:rPr>
        <w:t xml:space="preserve">ORIGIN OF THOUGHT — PHASE 45 (VERBATIM)</w:t>
      </w:r>
    </w:p>
    <w:p>
      <w:pPr>
        <w:spacing w:before="0" w:after="120" w:line="312" w:lineRule="auto"/>
      </w:pPr>
      <w:r>
        <w:rPr>
          <w:sz w:val="22"/>
        </w:rPr>
        <w:t xml:space="preserve">Archer, 8:35 pm, 16 July: "Hopefully the use of induction as opposed to iron cogging core generation, and the objects-in-motion physics in space, may lower the need for continual thruster. Then providing that power to the data centres may be as simple as having it floating inside the data centre ring. My knowledge — for lack of any research at all — into wireless energy transfer is zero, so the application in the context is unknown to me, though I'm sure it has been invented on smaller scales already."</w:t>
      </w:r>
    </w:p>
    <w:p>
      <w:pPr>
        <w:spacing w:before="0" w:after="120" w:line="312" w:lineRule="auto"/>
      </w:pPr>
      <w:r>
        <w:rPr>
          <w:sz w:val="22"/>
          <w:b/>
        </w:rPr>
        <w:t xml:space="preserve">Why it matters, in plain English:</w:t>
      </w:r>
      <w:r>
        <w:rPr>
          <w:sz w:val="22"/>
        </w:rPr>
        <w:t xml:space="preserve"> two honest instincts, both correct. First: iron cores in generators cause "cogging" — magnets grabbing at iron teeth even when you draw no power — so throw the iron out and let vacuum physics do the coasting. Second: don't bolt a spinning power plant to a stationary ring with cables that will twist and snap — float it in the middle and beam the power across. Tesla demonstrated wireless power a century ago; Caltech and space agencies fly rectennas today. Archer arrived at the same architecture from first principles, with zero research, in one message. Gemini's role here was confirmation, not invention.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AIR-CORE INSTINCT, AFFIRMED: removing the iron removes hysteresis and the cogging family of losses — air-core machines are real, buildable, and the right call where smooth torque matters. The vet's boundary rides with the pass: copper resistance, winding losses, field losses, conversion losses and electromagnetic reaction torque remain — coreless is not lossless, and the chapter never says lossless.</w:t>
      </w:r>
    </w:p>
    <w:p>
      <w:pPr>
        <w:spacing w:before="0" w:after="120" w:line="312" w:lineRule="auto"/>
      </w:pPr>
      <w:r>
        <w:rPr>
          <w:sz w:val="22"/>
        </w:rPr>
        <w:t xml:space="preserve">THE FLOATING PLACEMENT, AFFIRMED: non-contact magnetic-gradient cushioning instead of physical bearings is the project's own Phase 38 physics applied as a suspension — no contact, no wear surface, no lubrication problem in vacuum.</w:t>
      </w:r>
    </w:p>
    <w:p>
      <w:pPr>
        <w:spacing w:before="0" w:after="120" w:line="312" w:lineRule="auto"/>
      </w:pPr>
      <w:r>
        <w:rPr>
          <w:sz w:val="22"/>
        </w:rPr>
        <w:t>THE TRANSFER PHYSICS, SEATED AS BEAMING: the ruling is beaming — near-field resonant coupling is phone-charging physics, not a 50 or 100 metre clearance. The energy path is honest: electrical power → microwave beam → rectenna sheet → electrical power; the phased array throws across the clearance, the rectennas catch, efficiency set by aperture and geometry. The copper is still there — in the transmitter and the receiver.</w:t>
      </w:r>
    </w:p>
    <w:p>
      <w:pPr>
        <w:spacing w:before="0" w:after="120" w:line="312" w:lineRule="auto"/>
      </w:pPr>
      <w:r>
        <w:rPr>
          <w:sz w:val="22"/>
        </w:rPr>
        <w:t xml:space="preserve">THE VACUUM BEAM, AFFIRMED: the airless void gives the phased array 0% atmospheric scatter or refraction loss across the short spatial gap — the one place microwave power transfer gets to skip its worst tax.</w:t>
      </w:r>
    </w:p>
    <w:p>
      <w:pPr>
        <w:spacing w:before="360" w:after="160" w:line="312" w:lineRule="auto"/>
        <w:keepNext/>
      </w:pPr>
      <w:r>
        <w:rPr>
          <w:sz w:val="24"/>
          <w:b/>
        </w:rPr>
        <w:t xml:space="preserve">§3 — THE SYSTEM INSIDE THE RING</w:t>
      </w:r>
    </w:p>
    <w:p>
      <w:pPr>
        <w:spacing w:after="100" w:line="312" w:lineRule="auto"/>
        <w:ind w:left="360" w:hanging="180"/>
      </w:pPr>
      <w:r>
        <w:rPr>
          <w:sz w:val="22"/>
        </w:rPr>
        <w:t xml:space="preserve">- </w:t>
      </w:r>
      <w:r>
        <w:rPr>
          <w:sz w:val="22"/>
        </w:rPr>
        <w:t xml:space="preserve">THE COILS: high-density copper wire coils cast within non-magnetic composite frames — the Air-Core / Coreless Induction Matrix; no heavy iron-slotted cores anywhere in the architecture.</w:t>
      </w:r>
    </w:p>
    <w:p>
      <w:pPr>
        <w:spacing w:after="100" w:line="312" w:lineRule="auto"/>
        <w:ind w:left="360" w:hanging="180"/>
      </w:pPr>
      <w:r>
        <w:rPr>
          <w:sz w:val="22"/>
        </w:rPr>
        <w:t xml:space="preserve">- </w:t>
      </w:r>
      <w:r>
        <w:rPr>
          <w:sz w:val="22"/>
        </w:rPr>
        <w:t xml:space="preserve">THE KINEMATICS: cogging-torque friction eradicated; vacuum kinematics minimize outer plasma thruster demand — burns restricted to low-energy counter-balance pulses.</w:t>
      </w:r>
    </w:p>
    <w:p>
      <w:pPr>
        <w:spacing w:after="100" w:line="312" w:lineRule="auto"/>
        <w:ind w:left="360" w:hanging="180"/>
      </w:pPr>
      <w:r>
        <w:rPr>
          <w:sz w:val="22"/>
        </w:rPr>
        <w:t xml:space="preserve">- </w:t>
      </w:r>
      <w:r>
        <w:rPr>
          <w:sz w:val="22"/>
        </w:rPr>
        <w:t xml:space="preserve">THE FLOAT: the active counter-rotating dynamo floating inside the hollow perimeter of the Phase 43 Data Center Ring, never physically touching it — Phase 38 non-linear magnetic gradients as the non-contact stabilization cushion, bypassing physical bearings entirely.</w:t>
      </w:r>
    </w:p>
    <w:p>
      <w:pPr>
        <w:spacing w:after="100" w:line="312" w:lineRule="auto"/>
        <w:ind w:left="360" w:hanging="180"/>
      </w:pPr>
      <w:r>
        <w:rPr>
          <w:sz w:val="22"/>
        </w:rPr>
        <w:t xml:space="preserve">- </w:t>
      </w:r>
      <w:r>
        <w:rPr>
          <w:sz w:val="22"/>
        </w:rPr>
        <w:t xml:space="preserve">THE BEAM: induced dynamo electricity converted to high-frequency focused microwave beams via integrated phased-array transmitters; the vacuum transfer vector with 0% atmospheric scatter across the short gap.</w:t>
      </w:r>
    </w:p>
    <w:p>
      <w:pPr>
        <w:spacing w:after="100" w:line="312" w:lineRule="auto"/>
        <w:ind w:left="360" w:hanging="180"/>
      </w:pPr>
      <w:r>
        <w:rPr>
          <w:sz w:val="22"/>
        </w:rPr>
        <w:t xml:space="preserve">- </w:t>
      </w:r>
      <w:r>
        <w:rPr>
          <w:sz w:val="22"/>
        </w:rPr>
        <w:t xml:space="preserve">THE RECTENNAS: high-efficiency Rectifying Antenna sheets lining the internal hull profiles of the surrounding Block-of-9 ring — capturing the microwave fields, restoring high-voltage DC, feeding the Phase 13 segmented bus tracks to the server matrix with zero mechanical wear.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TWO-INSTINCTS DOCTRINE (the origin, seated): 'two honest instincts, both correct. First: iron cores in generators cause cogging — so throw the iron out and let vacuum physics...' (16 July) — the phase was born from the no-load tax every iron machine pays.</w:t>
      </w:r>
    </w:p>
    <w:p>
      <w:pPr>
        <w:spacing w:after="100" w:line="312" w:lineRule="auto"/>
        <w:ind w:left="360" w:hanging="180"/>
      </w:pPr>
      <w:r>
        <w:rPr>
          <w:sz w:val="22"/>
        </w:rPr>
        <w:t xml:space="preserve">- </w:t>
      </w:r>
      <w:r>
        <w:rPr>
          <w:sz w:val="22"/>
        </w:rPr>
        <w:t xml:space="preserve">THE PROVENANCE CORRECTION (vet batch 13's headline, seated): the 'frictionless wireless' wording was AI-generated terminology — 'i never wrote that or read it until now'; the vet conceded in full: no inventor error. The record grades the machine, not the adjective.</w:t>
      </w:r>
    </w:p>
    <w:p>
      <w:pPr>
        <w:spacing w:after="100" w:line="312" w:lineRule="auto"/>
        <w:ind w:left="360" w:hanging="180"/>
      </w:pPr>
      <w:r>
        <w:rPr>
          <w:sz w:val="22"/>
        </w:rPr>
        <w:t xml:space="preserve">- </w:t>
      </w:r>
      <w:r>
        <w:rPr>
          <w:sz w:val="22"/>
        </w:rPr>
        <w:t xml:space="preserve">THE MACHINE-READABLE WORDING (the vet's suggestion, executed): 'contactless resonant electromagnetic power transfer' — says exactly what is meant without inviting any reader to hear 'lossless'.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Cast the coils: high-density copper in non-magnetic composite frames; coil resistance and winding losses characterized on the bench before integration.</w:t>
      </w:r>
    </w:p>
    <w:p>
      <w:pPr>
        <w:spacing w:after="100" w:line="312" w:lineRule="auto"/>
        <w:ind w:left="360" w:hanging="180"/>
      </w:pPr>
      <w:r>
        <w:rPr>
          <w:sz w:val="22"/>
        </w:rPr>
        <w:t xml:space="preserve">- </w:t>
      </w:r>
      <w:r>
        <w:rPr>
          <w:sz w:val="22"/>
        </w:rPr>
        <w:t xml:space="preserve">STEP 2 — Float the core: the Phase 38 gradient cushion benched as a bearing — stiffness, damping and disturbance rejection inside a representative ring section.</w:t>
      </w:r>
    </w:p>
    <w:p>
      <w:pPr>
        <w:spacing w:after="100" w:line="312" w:lineRule="auto"/>
        <w:ind w:left="360" w:hanging="180"/>
      </w:pPr>
      <w:r>
        <w:rPr>
          <w:sz w:val="22"/>
        </w:rPr>
        <w:t xml:space="preserve">- </w:t>
      </w:r>
      <w:r>
        <w:rPr>
          <w:sz w:val="22"/>
        </w:rPr>
        <w:t xml:space="preserve">STEP 3 — Phase the array: the microwave transmitters focused across the working gap; beam geometry and pointing verified in vacuum conditions.</w:t>
      </w:r>
    </w:p>
    <w:p>
      <w:pPr>
        <w:spacing w:after="100" w:line="312" w:lineRule="auto"/>
        <w:ind w:left="360" w:hanging="180"/>
      </w:pPr>
      <w:r>
        <w:rPr>
          <w:sz w:val="22"/>
        </w:rPr>
        <w:t xml:space="preserve">- </w:t>
      </w:r>
      <w:r>
        <w:rPr>
          <w:sz w:val="22"/>
        </w:rPr>
        <w:t xml:space="preserve">STEP 4 — Line the hull: rectenna sheets on the Block-of-9 inner profiles; capture efficiency mapped against distance and alignment — the coupling curve published (§9).</w:t>
      </w:r>
    </w:p>
    <w:p>
      <w:pPr>
        <w:spacing w:after="100" w:line="312" w:lineRule="auto"/>
        <w:ind w:left="360" w:hanging="180"/>
      </w:pPr>
      <w:r>
        <w:rPr>
          <w:sz w:val="22"/>
        </w:rPr>
        <w:t xml:space="preserve">- </w:t>
      </w:r>
      <w:r>
        <w:rPr>
          <w:sz w:val="22"/>
        </w:rPr>
        <w:t>STEP 5 — Close the loop: dynamo → beam → rectenna → Phase 13 bus → server load; end-to-end efficiency measured and seated, with the beaming reading kept in the reporting.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43 — the data ring cities (GP-IM-043): the hollow perimeter this dynamo floats inside; the server matrix the rectennas feed.</w:t>
      </w:r>
    </w:p>
    <w:p>
      <w:pPr>
        <w:spacing w:after="100" w:line="312" w:lineRule="auto"/>
        <w:ind w:left="360" w:hanging="180"/>
      </w:pPr>
      <w:r>
        <w:rPr>
          <w:sz w:val="22"/>
        </w:rPr>
        <w:t xml:space="preserve">- </w:t>
      </w:r>
      <w:r>
        <w:rPr>
          <w:sz w:val="22"/>
        </w:rPr>
        <w:t xml:space="preserve">PHASE 38 — the asymmetry phase (GP-IM-038): the non-linear magnetic gradients as the non-contact cushion.</w:t>
      </w:r>
    </w:p>
    <w:p>
      <w:pPr>
        <w:spacing w:after="100" w:line="312" w:lineRule="auto"/>
        <w:ind w:left="360" w:hanging="180"/>
      </w:pPr>
      <w:r>
        <w:rPr>
          <w:sz w:val="22"/>
        </w:rPr>
        <w:t xml:space="preserve">- </w:t>
      </w:r>
      <w:r>
        <w:rPr>
          <w:sz w:val="22"/>
        </w:rPr>
        <w:t xml:space="preserve">PHASE 44 — the Star Drives (GP-IM-044): the counter-rotating induction doctrine this phase miniaturizes.</w:t>
      </w:r>
    </w:p>
    <w:p>
      <w:pPr>
        <w:spacing w:after="100" w:line="312" w:lineRule="auto"/>
        <w:ind w:left="360" w:hanging="180"/>
      </w:pPr>
      <w:r>
        <w:rPr>
          <w:sz w:val="22"/>
        </w:rPr>
        <w:t xml:space="preserve">- </w:t>
      </w:r>
      <w:r>
        <w:rPr>
          <w:sz w:val="22"/>
        </w:rPr>
        <w:t xml:space="preserve">PHASE 13 — the hull system (GP-IM-013): the segmented bus tracks carrying the restored DC.</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say lossless — copper resistance, winding, field, conversion losses and reaction torque all remain; the wording discipline is seated law (§2, §5).</w:t>
      </w:r>
    </w:p>
    <w:p>
      <w:pPr>
        <w:spacing w:after="100" w:line="312" w:lineRule="auto"/>
        <w:ind w:left="360" w:hanging="180"/>
      </w:pPr>
      <w:r>
        <w:rPr>
          <w:sz w:val="22"/>
        </w:rPr>
        <w:t xml:space="preserve">- </w:t>
      </w:r>
      <w:r>
        <w:rPr>
          <w:sz w:val="22"/>
        </w:rPr>
        <w:t>NEVER call the link near-field resonant coupling — near-field is phone charging, not a 50 or 100 metre clearance; the link is microwave beaming; efficiency falls with distance and geometry (§2).</w:t>
      </w:r>
    </w:p>
    <w:p>
      <w:pPr>
        <w:spacing w:after="100" w:line="312" w:lineRule="auto"/>
        <w:ind w:left="360" w:hanging="180"/>
      </w:pPr>
      <w:r>
        <w:rPr>
          <w:sz w:val="22"/>
        </w:rPr>
        <w:t xml:space="preserve">- </w:t>
      </w:r>
      <w:r>
        <w:rPr>
          <w:sz w:val="22"/>
        </w:rPr>
        <w:t xml:space="preserve">NO physical bearings in the float — the gradient cushion is the suspension; contact is the failure mode (§1).</w:t>
      </w:r>
    </w:p>
    <w:p>
      <w:pPr>
        <w:spacing w:after="100" w:line="312" w:lineRule="auto"/>
        <w:ind w:left="360" w:hanging="180"/>
      </w:pPr>
      <w:r>
        <w:rPr>
          <w:sz w:val="22"/>
        </w:rPr>
        <w:t xml:space="preserve">- </w:t>
      </w:r>
      <w:r>
        <w:rPr>
          <w:sz w:val="22"/>
        </w:rPr>
        <w:t xml:space="preserve">NEVER grade the machine by the adjective — the provenance correction is seated: the wording was never his (§4, §5).</w:t>
      </w:r>
    </w:p>
    <w:p>
      <w:pPr>
        <w:spacing w:before="360" w:after="160" w:line="312" w:lineRule="auto"/>
        <w:keepNext/>
      </w:pPr>
      <w:r>
        <w:rPr>
          <w:sz w:val="24"/>
          <w:b/>
        </w:rPr>
        <w:t xml:space="preserve">§9 — OWED</w:t>
      </w:r>
    </w:p>
    <w:p>
      <w:pPr>
        <w:spacing w:before="0" w:after="120" w:line="312" w:lineRule="auto"/>
      </w:pPr>
      <w:r>
        <w:rPr>
          <w:sz w:val="22"/>
        </w:rPr>
        <w:t xml:space="preserve">THE BENCH, OWED: the coupling-efficiency curve against distance and geometry (the transfer spec); the float cushion's stiffness and disturbance-rejection numbers; end-to-end dynamo-to-bus efficiency under server load.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GP-IM-045, v1.0 — CURRENT, seated law, master v2.1 (numerical print order). Built 21 August 2026, eighth of the 'next 10'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 (seated in sitting 537):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or his word.</w:t>
      </w:r>
    </w:p>
    <w:p>
      <w:pPr>
        <w:spacing w:before="0" w:after="120" w:line="312" w:lineRule="auto"/>
      </w:pPr>
      <w:r>
        <w:rPr>
          <w:sz w:val="22"/>
        </w:rPr>
        <w:t xml:space="preserve">END OF CHAPTER 45</w:t>
      </w:r>
    </w:p>
    <w:sectPr>
      <w:footerReference xmlns:r="http://schemas.openxmlformats.org/officeDocument/2006/relationships" w:type="default" r:id="Rc52ad786ecc74975"/>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81a72bc13da340c2" Type="http://schemas.openxmlformats.org/officeDocument/2006/relationships/styles" Target="styles.xml"/><Relationship Id="Rc52ad786ecc74975" Type="http://schemas.openxmlformats.org/officeDocument/2006/relationships/footer" Target="footer1.xml"/><Relationship Id="Rd68cd5e1a70f4a0b" Type="http://schemas.openxmlformats.org/officeDocument/2006/relationships/image" Target="../media/image.png"/></Relationships>
</file>