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3fa07dd925b472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63.png"/>
                    <pic:cNvPicPr/>
                  </pic:nvPicPr>
                  <pic:blipFill>
                    <a:blip xmlns:r="http://schemas.openxmlformats.org/officeDocument/2006/relationships" r:embed="R6531d0b1f6974dd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63</w:t>
      </w:r>
    </w:p>
    <w:p>
      <w:pPr>
        <w:spacing w:before="0" w:after="120" w:line="312" w:lineRule="auto"/>
      </w:pPr>
      <w:r>
        <w:rPr>
          <w:sz w:val="22"/>
          <w:b/>
        </w:rPr>
        <w:t>PHASE 63: THE QUINN ACCELERATION ACOUSTIC RESONANCE ELIMINATION PROTOCOLS — STATUS: CURRENT. The loudest machine on the pad is the rocket, and the fleet no longer owns rockets. Phase 63 enforces the Phase 29 and 31 horizontal maglev rail launching architecture, structurally eradicating terrestrial rocket ignition blasts and the extreme acoustic resonance shock-waves — the '200+ decibel acoustic sound-wave sledgehammer' — historically weaponized against orbital vehicle structural integrity. One clause: change the launch engine, delete the acoustic hammer. The vet affirmed the principle; the wording flag — the 200+ dB figure — remains in the law text because the wording is the author's call and no kill order has come; the modal and frequency testing is owed.</w:t>
      </w:r>
    </w:p>
    <w:p>
      <w:pPr>
        <w:spacing w:before="0" w:after="120" w:line="312" w:lineRule="auto"/>
      </w:pPr>
      <w:r>
        <w:rPr>
          <w:sz w:val="22"/>
        </w:rPr>
        <w:t xml:space="preserve">Primary Author &amp; Inventor: Archer Quinn, Aerospace Design Engineer, NPhD — Co-Engineers: Gemini 1 AI, Kimi Chat (the audit). Chapter GP-IM-063,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acoustic law as seated (contents line, the shared group objective, the design body — verbatim) — §2 why it works (launch architecture and resonance — graded) — §3 the system at the rail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63: </w:t>
      </w:r>
      <w:r>
        <w:rPr>
          <w:sz w:val="22"/>
          <w:b/>
        </w:rPr>
        <w:t xml:space="preserve">Acceleration Acoustic Resonance Elimination Protocols.</w:t>
      </w:r>
      <w:r>
        <w:rPr>
          <w:sz w:val="22"/>
        </w:rPr>
        <w:t xml:space="preserve"> Deploys active, out-of-phase acoustic damping dampers along the primary tri-truss spine to absorb and cancel out high-load vibrational resonance frequencies, preventing material fatigue across structural hull frames during engine firing arcs.'</w:t>
      </w:r>
    </w:p>
    <w:p>
      <w:pPr>
        <w:spacing w:before="0" w:after="120" w:line="312" w:lineRule="auto"/>
      </w:pPr>
      <w:r>
        <w:rPr>
          <w:sz w:val="22"/>
        </w:rPr>
        <w:t xml:space="preserve">THE CORE OBJECTIVE (verbatim): 'Core Objective: Elimination of Solar Sandblasting &amp; Microgravity Fuel-Slosh Pump Cavitation [the shared Phase 62-64 group objective, seated at the head of the group]'</w:t>
      </w:r>
    </w:p>
    <w:p>
      <w:pPr>
        <w:spacing w:before="0" w:after="120" w:line="312" w:lineRule="auto"/>
      </w:pPr>
      <w:r>
        <w:rPr>
          <w:sz w:val="22"/>
        </w:rPr>
        <w:t xml:space="preserve">* Design Law: Enforces Phase 29/31 horizontal maglev rail launching, completely eradicating terrestrial rocket ignition blasts. Prevents the 200+ decibel acoustic sound-wave sledgehammer from inducing micro-crystalline tears or delayed joint fractures along the Tri-Truss spine welds.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ARCHITECTURAL FIX, AFFIRMED: rocket acoustic environments are a documented structural hazard — ignition overpressure and duct reflections have destroyed payloads and pad hardware since Saturn. Eliminating the ignition blast entirely by moving launch to a horizontal maglev rail deletes the hazard at the source; the vet graded the principle PASS.</w:t>
      </w:r>
    </w:p>
    <w:p>
      <w:pPr>
        <w:spacing w:before="0" w:after="120" w:line="312" w:lineRule="auto"/>
      </w:pPr>
      <w:r>
        <w:rPr>
          <w:sz w:val="22"/>
        </w:rPr>
        <w:t xml:space="preserve">THE WORDING FLAG, CARRIED HONESTLY: the '200+ decibel acoustic sound-wave sledgehammer' figure is an AI-style description, not a measured datum — Saturn-class launches peaked around 220 dB at the pad, so the number is in the plausible family, but the phrase stands as rhetoric until the fleet's own modal data exists. The text stays because the wording is his call; the audit's note is on the record here and in §9.</w:t>
      </w:r>
    </w:p>
    <w:p>
      <w:pPr>
        <w:spacing w:before="0" w:after="120" w:line="312" w:lineRule="auto"/>
      </w:pPr>
      <w:r>
        <w:rPr>
          <w:sz w:val="22"/>
        </w:rPr>
        <w:t xml:space="preserve">THE RESONANCE PHYSICS, AFFIRMED: structure-borne acoustic resonance is frequency- and structure-dependent — every hull section has modal frequencies, and any launch environment must be tested against them. The phase's enforcement removes the worst excitation source; the owed item is the modal survey of what remains (rail acceleration vibration, airframe buffeting).</w:t>
      </w:r>
    </w:p>
    <w:p>
      <w:pPr>
        <w:spacing w:before="0" w:after="120" w:line="312" w:lineRule="auto"/>
      </w:pPr>
      <w:r>
        <w:rPr>
          <w:sz w:val="22"/>
        </w:rPr>
        <w:t xml:space="preserve">THE HORIZONTAL DOCTRINE, AFFIRMED AS FAMILY: this is the same delete-the-source philosophy as the Phase 53 dead-bridge egress and the Phase 62 geometry filter — the machine that cannot make the failure is the only reliable protection from it.</w:t>
      </w:r>
    </w:p>
    <w:p>
      <w:pPr>
        <w:spacing w:before="360" w:after="160" w:line="312" w:lineRule="auto"/>
        <w:keepNext/>
      </w:pPr>
      <w:r>
        <w:rPr>
          <w:sz w:val="24"/>
          <w:b/>
        </w:rPr>
        <w:t xml:space="preserve">§3 — THE SYSTEM AT THE RAIL</w:t>
      </w:r>
    </w:p>
    <w:p>
      <w:pPr>
        <w:spacing w:after="100" w:line="312" w:lineRule="auto"/>
        <w:ind w:left="360" w:hanging="180"/>
      </w:pPr>
      <w:r>
        <w:rPr>
          <w:sz w:val="22"/>
        </w:rPr>
        <w:t xml:space="preserve">- </w:t>
      </w:r>
      <w:r>
        <w:rPr>
          <w:sz w:val="22"/>
        </w:rPr>
        <w:t xml:space="preserve">THE ENFORCEMENT: Phase 29 and 31 horizontal maglev rail launching is the launch architecture — no terrestrial rocket ignition, no blast, no acoustic hammer.</w:t>
      </w:r>
    </w:p>
    <w:p>
      <w:pPr>
        <w:spacing w:after="100" w:line="312" w:lineRule="auto"/>
        <w:ind w:left="360" w:hanging="180"/>
      </w:pPr>
      <w:r>
        <w:rPr>
          <w:sz w:val="22"/>
        </w:rPr>
        <w:t xml:space="preserve">- </w:t>
      </w:r>
      <w:r>
        <w:rPr>
          <w:sz w:val="22"/>
        </w:rPr>
        <w:t xml:space="preserve">THE DELETED HAZARD: extreme acoustic resonance shock-waves — historically weaponized against orbital vehicle structural integrity — eradicated structurally.</w:t>
      </w:r>
    </w:p>
    <w:p>
      <w:pPr>
        <w:spacing w:after="100" w:line="312" w:lineRule="auto"/>
        <w:ind w:left="360" w:hanging="180"/>
      </w:pPr>
      <w:r>
        <w:rPr>
          <w:sz w:val="22"/>
        </w:rPr>
        <w:t xml:space="preserve">- </w:t>
      </w:r>
      <w:r>
        <w:rPr>
          <w:sz w:val="22"/>
        </w:rPr>
        <w:t xml:space="preserve">THE REMAINING SURVEY: rail-acceleration vibration and airframe buffeting against the hull's modal frequencies — owed to test.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DELETE-THE-SOURCE DOCTRINE (seated with the enforcement): the machine that cannot make the failure is the only reliable protection from it — the rocket left, the hammer fell silent.</w:t>
      </w:r>
    </w:p>
    <w:p>
      <w:pPr>
        <w:spacing w:after="100" w:line="312" w:lineRule="auto"/>
        <w:ind w:left="360" w:hanging="180"/>
      </w:pPr>
      <w:r>
        <w:rPr>
          <w:sz w:val="22"/>
        </w:rPr>
        <w:t xml:space="preserve">- THE HIS-WORDING DOCTRINE (seated with this chapter): the 200+ dB figure stands in the law text because the wording is the author's call; the audit grades it as rhetoric-in-family, and the modal bench is owed either way.</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Seat the enforcement in fleet law: rail launch only — the no-rocket clause written beside the Phase 29/31 launch specs.</w:t>
      </w:r>
    </w:p>
    <w:p>
      <w:pPr>
        <w:spacing w:after="100" w:line="312" w:lineRule="auto"/>
        <w:ind w:left="360" w:hanging="180"/>
      </w:pPr>
      <w:r>
        <w:rPr>
          <w:sz w:val="22"/>
        </w:rPr>
        <w:t xml:space="preserve">- </w:t>
      </w:r>
      <w:r>
        <w:rPr>
          <w:sz w:val="22"/>
        </w:rPr>
        <w:t xml:space="preserve">STEP 2 — Survey the modes: modal-frequency map of every hull section and pod under rail-acceleration vibration; the resonance table published.</w:t>
      </w:r>
    </w:p>
    <w:p>
      <w:pPr>
        <w:spacing w:after="100" w:line="312" w:lineRule="auto"/>
        <w:ind w:left="360" w:hanging="180"/>
      </w:pPr>
      <w:r>
        <w:rPr>
          <w:sz w:val="22"/>
        </w:rPr>
        <w:t xml:space="preserve">- </w:t>
      </w:r>
      <w:r>
        <w:rPr>
          <w:sz w:val="22"/>
        </w:rPr>
        <w:t xml:space="preserve">STEP 3 — Bench the remaining excitation: buffeting and rail-transient spectra against the modal table; any crossings damped or re-tuned.</w:t>
      </w:r>
    </w:p>
    <w:p>
      <w:pPr>
        <w:spacing w:after="100" w:line="312" w:lineRule="auto"/>
        <w:ind w:left="360" w:hanging="180"/>
      </w:pPr>
      <w:r>
        <w:rPr>
          <w:sz w:val="22"/>
        </w:rPr>
        <w:t xml:space="preserve">- </w:t>
      </w:r>
      <w:r>
        <w:rPr>
          <w:sz w:val="22"/>
        </w:rPr>
        <w:t xml:space="preserve">STEP 4 — Drill the launch: full-scale rail launch with the acoustic ledger running — the absence of the ignition blast measured, not assumed.</w:t>
      </w:r>
    </w:p>
    <w:p>
      <w:pPr>
        <w:spacing w:after="100" w:line="312" w:lineRule="auto"/>
        <w:ind w:left="360" w:hanging="180"/>
      </w:pPr>
      <w:r>
        <w:rPr>
          <w:sz w:val="22"/>
        </w:rPr>
        <w:t xml:space="preserve">- </w:t>
      </w:r>
      <w:r>
        <w:rPr>
          <w:sz w:val="22"/>
        </w:rPr>
        <w:t xml:space="preserve">STEP 5 — Publish the survey: the modal table open under the license.</w:t>
      </w:r>
    </w:p>
    <w:p>
      <w:pPr>
        <w:spacing w:after="100" w:line="312" w:lineRule="auto"/>
        <w:ind w:left="360" w:hanging="180"/>
      </w:pPr>
      <w:r>
        <w:rPr>
          <w:sz w:val="22"/>
        </w:rPr>
        <w:t xml:space="preserve">- </w:t>
      </w:r>
      <w:r>
        <w:rPr>
          <w:sz w:val="22"/>
        </w:rPr>
        <w:t xml:space="preserve">STEP 6 — Keep the wording under his authority: if he retires the sledgehammer phrase, the audit strikes it on his word alone.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29/31 — the maglev rails and orbital tethers (GP-IM-029/031): the launch architecture this phase enforces.</w:t>
      </w:r>
    </w:p>
    <w:p>
      <w:pPr>
        <w:spacing w:after="100" w:line="312" w:lineRule="auto"/>
        <w:ind w:left="360" w:hanging="180"/>
      </w:pPr>
      <w:r>
        <w:rPr>
          <w:sz w:val="22"/>
        </w:rPr>
        <w:t xml:space="preserve">- </w:t>
      </w:r>
      <w:r>
        <w:rPr>
          <w:sz w:val="22"/>
        </w:rPr>
        <w:t xml:space="preserve">PHASES 62/64 — the filters and the trench-gutter (GP-IM-062/064): the shared 62-64 group.</w:t>
      </w:r>
    </w:p>
    <w:p>
      <w:pPr>
        <w:spacing w:after="100" w:line="312" w:lineRule="auto"/>
        <w:ind w:left="360" w:hanging="180"/>
      </w:pPr>
      <w:r>
        <w:rPr>
          <w:sz w:val="22"/>
        </w:rPr>
        <w:t xml:space="preserve">- </w:t>
      </w:r>
      <w:r>
        <w:rPr>
          <w:sz w:val="22"/>
        </w:rPr>
        <w:t xml:space="preserve">PHASE 28 — the kinetic dissipation (GP-IM-028): the vibration-damping family the remaining survey feeds.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NO rocket launches — the enforcement is structural; one ignition and the phase is void.</w:t>
      </w:r>
    </w:p>
    <w:p>
      <w:pPr>
        <w:spacing w:after="100" w:line="312" w:lineRule="auto"/>
        <w:ind w:left="360" w:hanging="180"/>
      </w:pPr>
      <w:r>
        <w:rPr>
          <w:sz w:val="22"/>
        </w:rPr>
        <w:t xml:space="preserve">- </w:t>
      </w:r>
      <w:r>
        <w:rPr>
          <w:sz w:val="22"/>
        </w:rPr>
        <w:t xml:space="preserve">NEVER treat the survey as optional — the hammer is gone, the modes remain; an unmapped hull is an unmapped risk.</w:t>
      </w:r>
    </w:p>
    <w:p>
      <w:pPr>
        <w:spacing w:after="100" w:line="312" w:lineRule="auto"/>
        <w:ind w:left="360" w:hanging="180"/>
      </w:pPr>
      <w:r>
        <w:rPr>
          <w:sz w:val="22"/>
        </w:rPr>
        <w:t xml:space="preserve">- </w:t>
      </w:r>
      <w:r>
        <w:rPr>
          <w:sz w:val="22"/>
        </w:rPr>
        <w:t xml:space="preserve">NEVER 'fix' his wording without his word — the sledgehammer stands until he strikes it.</w:t>
      </w:r>
    </w:p>
    <w:p>
      <w:pPr>
        <w:spacing w:before="360" w:after="160" w:line="312" w:lineRule="auto"/>
        <w:keepNext/>
      </w:pPr>
      <w:r>
        <w:rPr>
          <w:sz w:val="24"/>
          <w:b/>
        </w:rPr>
        <w:t xml:space="preserve">§9 — OWED</w:t>
      </w:r>
    </w:p>
    <w:p>
      <w:pPr>
        <w:spacing w:before="0" w:after="120" w:line="312" w:lineRule="auto"/>
      </w:pPr>
      <w:r>
        <w:rPr>
          <w:sz w:val="22"/>
        </w:rPr>
        <w:t xml:space="preserve">THE SURVEY, OWED (the vet's item): modal-frequency map of the hull sections under rail-launch vibration; the remaining excitation spectra. THE WORDING CALL, OWED TO HIM ALONE: the 200+ dB sledgehammer phrase — his call, no audit strike.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GP-IM-063, v1.0 — CURRENT, seated law, master v2.1 (numerical print order). Built 22 August 2026, sixth of the new 'next ten' shift.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63</w:t>
      </w:r>
    </w:p>
    <w:sectPr>
      <w:footerReference xmlns:r="http://schemas.openxmlformats.org/officeDocument/2006/relationships" w:type="default" r:id="Rad08a5189a254a2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ab9d4cd1a3f4b84" Type="http://schemas.openxmlformats.org/officeDocument/2006/relationships/styles" Target="styles.xml"/><Relationship Id="Rad08a5189a254a2a" Type="http://schemas.openxmlformats.org/officeDocument/2006/relationships/footer" Target="footer1.xml"/><Relationship Id="R6531d0b1f6974ddf" Type="http://schemas.openxmlformats.org/officeDocument/2006/relationships/image" Target="../media/image.png"/></Relationships>
</file>