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dec2b4a0a4cc4a5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77.png"/>
                    <pic:cNvPicPr/>
                  </pic:nvPicPr>
                  <pic:blipFill>
                    <a:blip xmlns:r="http://schemas.openxmlformats.org/officeDocument/2006/relationships" r:embed="R2f3c4b9cb85849b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77</w:t>
      </w:r>
    </w:p>
    <w:p>
      <w:pPr>
        <w:spacing w:before="0" w:after="120" w:line="312" w:lineRule="auto"/>
      </w:pPr>
      <w:r>
        <w:rPr>
          <w:sz w:val="22"/>
          <w:b/>
        </w:rPr>
        <w:t>PHASE 77: THE QUINN CONTINUOUS 5X MATERIAL RESERVE SPOKE REELS &amp; TENSION HUB ANCHORS — STATUS: CURRENT. A cable you can renew is a cable that never has to fail. Phase 77 manufactures the structural cross-link spoke tethers of the Phase 44 dynamo rings to a minimum of 5 times the ring's internal diameter, housing the excess on automated high-torque dual-drive reels embedded in the central hub and outer pod junctions. Every 24 months the Phase 49 Grained AI triggers a synchronized drive-wheel advance across all spoke lines: the old micro-pitted segments — sandblasted by cosmic dust — reel up onto insulated shielded storage tracks while factory-pristine cable unrolls across the gap simultaneously, resetting structural fatigue to zero with 0% variance in ring stabilization tension. At the axis, the lines exit the spool tracks through scaled-up variants of the Phase 72 1/3 pie-section variable-radius cam rockers, plunge through the central hub core, and lock down via multi-ton mechanical deadbolts; external torque shocks roll out on the cams before they ever reach the pins. The vet accepted the phase as written — with the terminology settled: self-renewing, not self-healing ('cable terminology accepted' — his word, seated in the batch).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GP-IM-077,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reel law as seated (contents line, the three design bodies — verbatim) — §2 why it works (fatigue management and anchoring — graded) — §3 the system in the ring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77: </w:t>
      </w:r>
      <w:r>
        <w:rPr>
          <w:sz w:val="22"/>
          <w:b/>
        </w:rPr>
        <w:t xml:space="preserve">Continuous 5x Material Reserve Spoke Reels &amp; Tension Hub Anchors.</w:t>
      </w:r>
      <w:r>
        <w:rPr>
          <w:sz w:val="22"/>
        </w:rPr>
        <w:t xml:space="preserve"> Neutralizes the risk of static structural cables snapping under high-G maneuvers. Mounts critical tethers onto automated, internal 5x spoke reels that execute controlled, slip-yield rotations to absorb sudden load surges before winding back to taut baselines. For the city sized ring generators.'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Micro-Abrasion Cable Snap via 5x Sacrificial Reel Swapping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5X EXTENDED MATERIAL RESERVE SPOOLS (VERBATIM)</w:t>
      </w:r>
    </w:p>
    <w:p>
      <w:pPr>
        <w:spacing w:before="0" w:after="120" w:line="312" w:lineRule="auto"/>
      </w:pPr>
      <w:r>
        <w:rPr>
          <w:sz w:val="22"/>
        </w:rPr>
        <w:t xml:space="preserve">* Cable Sizing Metric: Structural cross-link spoke tethers are manufactured to a minimum length of 5 times the internal diameter of the Phase 44 Dynamo rings. * Dual-Drive Winch Housings: Houses the excess cable length on automated, high-torque dual-drive reels embedded directly within the central hub and outer pod junctions.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2-YEAR STRUCTURAL SELF-HEALING REEL (VERBATIM)</w:t>
      </w:r>
    </w:p>
    <w:p>
      <w:pPr>
        <w:spacing w:before="0" w:after="120" w:line="312" w:lineRule="auto"/>
      </w:pPr>
      <w:r>
        <w:rPr>
          <w:sz w:val="22"/>
        </w:rPr>
        <w:t xml:space="preserve">* The 24-Month Rotation: The Phase 49 Grained AI triggers an automated, synchronized drive wheel advance across all spoke lines every 2 years of active service.</w:t>
      </w:r>
    </w:p>
    <w:p>
      <w:pPr>
        <w:spacing w:before="0" w:after="120" w:line="312" w:lineRule="auto"/>
      </w:pPr>
      <w:r>
        <w:rPr>
          <w:sz w:val="22"/>
        </w:rPr>
        <w:t xml:space="preserve">* Abrasive Section Capture: Reels up the old, micro-pitted cable segments damaged by cosmic dust sandblasting onto an insulated, shielded internal storage track. * Continuous Tension Deployment: Unrolls an identical length of factory-pristine, un-weathered cable across the gap simultaneously, resetting structural fatigue limits to zero with 0% variance in ring stabilization tension.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CENTRAL AXIS HUB LOCKDOWN &amp; CAM BUFFERING (VERBATIM)</w:t>
      </w:r>
    </w:p>
    <w:p>
      <w:pPr>
        <w:spacing w:before="0" w:after="120" w:line="312" w:lineRule="auto"/>
      </w:pPr>
      <w:r>
        <w:rPr>
          <w:sz w:val="22"/>
        </w:rPr>
        <w:t xml:space="preserve">* Dual-Sided Rocker Integration: Spoke lines exit the spool tracks through scaled-up variants of the Phase 72 1/3 pie-section variable-radius cam rockers on either side. * Centralized Core Anchor: Cables plunge through the central hub core axis and lock down via heavy multi-ton mechanical deadbolts to distribute massive load profiles. * Torque-Flare Dissipation: External rotational torque shocks are absorbed by the rolling movement of the cam rockers before hitting the central pins, preventing structural shearing across the macro-scale dynamo architecture.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FATIGUE LOGIC, AFFIRMED: cables die of accumulated micro-damage — abrasion, pitting, flex cycles. Retiring segments on a fixed calendar before the damage accumulates to failure probability is standard wire-rope management (elevators, cranes, bridges inspect and retire); doing it by reel advance makes the renewal continuous and automated instead of a drydock event.</w:t>
      </w:r>
    </w:p>
    <w:p>
      <w:pPr>
        <w:spacing w:before="0" w:after="120" w:line="312" w:lineRule="auto"/>
      </w:pPr>
      <w:r>
        <w:rPr>
          <w:sz w:val="22"/>
        </w:rPr>
        <w:t xml:space="preserve">THE 5X RESERVE, AFFIRMED AS SIZING: five times the internal diameter is a calibration, not a constant — the STANDARD NOTATION law applies. What the reserve buys is quantifiable: renewal cycles available onboard without resupply; the owed number is cycles-versus-mission-duration.</w:t>
      </w:r>
    </w:p>
    <w:p>
      <w:pPr>
        <w:spacing w:before="0" w:after="120" w:line="312" w:lineRule="auto"/>
      </w:pPr>
      <w:r>
        <w:rPr>
          <w:sz w:val="22"/>
        </w:rPr>
        <w:t xml:space="preserve">THE ZERO-VARIANCE SWAP, GRADED HONESTLY: simultaneous reel-up and roll-out keeps tension constant through the advance — the claim '0% variance' reads as the design target within the drive system's synchronization tolerance; the tension transient during swap is a bench number, owed.</w:t>
      </w:r>
    </w:p>
    <w:p>
      <w:pPr>
        <w:spacing w:before="0" w:after="120" w:line="312" w:lineRule="auto"/>
      </w:pPr>
      <w:r>
        <w:rPr>
          <w:sz w:val="22"/>
        </w:rPr>
        <w:t xml:space="preserve">THE ANCHOR CHAIN, AFFIRMED: cam rockers at the spool exits, deadbolts at the core axis — torque shocks roll out on the cams before reaching the pins. This is Phase 72's roll-don't-shear doctrine scaled to the macro ring; the physics graded there carries here.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RING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SPOOLS: spoke tethers at minimum 5x the Phase 44 ring internal diameter; dual-drive winch housings in the central hub and outer pod junctions.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ROTATION: every 24 months the Phase 49 AI advances all spoke lines in synchronization — pitted segments to shielded storage, pristine cable across the gap, fatigue reset to zero.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ANCHORS: scaled Phase 72 cam rockers at the spool exits; cables through the hub core axis; multi-ton deadbolt lockdown.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BUFFER: external torque-flare shocks absorbed by the rolling cams before the pins — no structural shear across the dynamo architecture.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SELF-RENEWING DOCTRINE (terminology settled in the batch): the cable does not heal — it is renewed, on a calendar, by machine; his acceptance seated: 'cable terminology accepted'.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CALENDAR DOCTRINE (seated with the 24-month rotation): retire the cable before it can fail — fatigue managed by schedule, not by hope.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ROLL-DON'T-SHEAR DOCTRINE, SCALED (carried from Phase 72): force that rolls the machine cannot snap it — at hub scale, the cam rockers are the insurance.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Size the reserve: 5x spool capacity against the Phase 44 ring geometry; renewal cycles versus mission duration computed and published.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Build the reel rig: dual-drive winch housings with the synchronized advance; tension transient through a swap measured — the 0%-variance target benched.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Scale the rockers: the Phase 72 cam profile scaled to hub loads; torque-flare absorption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Bolt the core: multi-ton deadbolt lockdown tested to the full load profile.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Run a rotation: a full 24-month-cycle drill on the rig — reel-up, roll-out, storage-track capture, tension figures throughout.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cycle: sizing math, transient figures, drill results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44 — the orbital star drives (GP-IM-044): the dynamo rings the spokes stabilize.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49 — the grained logic blocks (GP-IM-049): the AI that triggers the rotation.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72 — the cam rocker assemblies (GP-IM-072): the scaled anchor mechanism.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67 — the data centres (GP-IM-067): the ring architecture these cables hold true.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say self-healing — the cable is self-renewing (terminology settled in the batch); nothing chemically repairs itself.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fixed cables on the rings — a spoke that cannot advance is a fatigue clock nobody is watching.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stretch the calendar — 24 months is the rotation; a deferred advance is deferred maintenance, the oldest killer in rigging.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pin-first anchor paths — the shock must roll out on the cams before it reaches the deadbolts.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BENCH, OWED: tension transient through a synchronized swap (the 0%-variance target measured); reserve sizing versus mission duration; scaled-rocker torque-flare figures; deadbolt load-test margins.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GP-IM-077, v1.0 — CURRENT, seated law, master v2.1 (numerical print order). Built 22 August 2026, tenth of the new 'next 10' shift ('all good next 10').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 and 562): 'ok next 10' / 'ok next ten' / 'all good next 10'.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77</w:t>
      </w:r>
    </w:p>
    <w:sectPr>
      <w:footerReference xmlns:r="http://schemas.openxmlformats.org/officeDocument/2006/relationships" w:type="default" r:id="R9b602bd8999b4cf0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918e99a30311437e" Type="http://schemas.openxmlformats.org/officeDocument/2006/relationships/styles" Target="styles.xml"/><Relationship Id="R9b602bd8999b4cf0" Type="http://schemas.openxmlformats.org/officeDocument/2006/relationships/footer" Target="footer1.xml"/><Relationship Id="R2f3c4b9cb85849b2" Type="http://schemas.openxmlformats.org/officeDocument/2006/relationships/image" Target="../media/image.png"/></Relationships>
</file>