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9345" w:right="-1032.9921259842508" w:hanging="312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053715" cy="49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371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708.6614173228347" w:firstLine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0" w:hanging="4308.661417322835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Mobilisation Plan</w:t>
      </w:r>
    </w:p>
    <w:p w:rsidR="00000000" w:rsidDel="00000000" w:rsidP="00000000" w:rsidRDefault="00000000" w:rsidRPr="00000000" w14:paraId="00000004">
      <w:pPr>
        <w:ind w:left="3600" w:hanging="4308.661417322835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0" w:hanging="4308.661417322835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mobilisation plan outlines the strategies and procedures for effectively initiating and implementing a construction project, ensuring alignment with the principles of Building Information Modelling (BIM) as defined in BS EN ISO 19650-2. The plan will address key areas such as project setup, information management, stakeholder engagement, and resource allocation.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BAILEY PARTNERSHIP TEAM</w:t>
      </w:r>
    </w:p>
    <w:tbl>
      <w:tblPr>
        <w:tblStyle w:val="Table1"/>
        <w:tblW w:w="907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3.333333333334"/>
        <w:gridCol w:w="3023.333333333334"/>
        <w:gridCol w:w="3023.333333333334"/>
        <w:tblGridChange w:id="0">
          <w:tblGrid>
            <w:gridCol w:w="3023.333333333334"/>
            <w:gridCol w:w="3023.333333333334"/>
            <w:gridCol w:w="3023.3333333333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 TEAM</w:t>
      </w:r>
    </w:p>
    <w:tbl>
      <w:tblPr>
        <w:tblStyle w:val="Table2"/>
        <w:tblW w:w="907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3.333333333334"/>
        <w:gridCol w:w="3023.333333333334"/>
        <w:gridCol w:w="3023.333333333334"/>
        <w:tblGridChange w:id="0">
          <w:tblGrid>
            <w:gridCol w:w="3023.333333333334"/>
            <w:gridCol w:w="3023.333333333334"/>
            <w:gridCol w:w="3023.333333333334"/>
          </w:tblGrid>
        </w:tblGridChange>
      </w:tblGrid>
      <w:tr>
        <w:trPr>
          <w:cantSplit w:val="0"/>
          <w:trHeight w:val="37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 Project Setup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BIM Execution Plan (BEP):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and validate the BEP to ensure its alignment with project objectives and requirements.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 clear roles and responsibilities for BIM stakeholders.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the BIM level of detail (LOD) and level of information (LOI) requirements. 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Common Data Environment (CDE):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 that the Bailey Partnership CDE platform Autodesk ACC meets all project information management needs.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 access controls and permissions for different stakeholders.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data classification and naming convention.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 Information Management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quality assurance processes to ensure the accuracy and completeness of data.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 data validation procedures and standards.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Exchange: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protocols for data exchange between project participants using standardised formats (e.g., IFC).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 data exchange procedures and timelines.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Information 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security measures to protect sensitive project information.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 a data security policy and procedures.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(Steve Weeks - IT Security Policy)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 training, tests and checks of information technology  within the delivery team prior to the commencement of works.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 the project team and technology are set up properly through preparation, training and planning. </w:t>
      </w:r>
    </w:p>
    <w:p w:rsidR="00000000" w:rsidDel="00000000" w:rsidP="00000000" w:rsidRDefault="00000000" w:rsidRPr="00000000" w14:paraId="00000037">
      <w:pPr>
        <w:spacing w:after="24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3. Stakeholder Engagement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Stakeholder Identification: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all relevant stakeholders and their roles in the project.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 communication channels and protocols between Project Team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Collaboration: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Foster collaboration among stakeholders through regular meetings, workshops, and information sharing.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Encourage the use of BIM tools and platforms for effective communication.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40" w:before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Maintain trust and transparency to avoid confusion, rework and delays.</w:t>
      </w:r>
    </w:p>
    <w:p w:rsidR="00000000" w:rsidDel="00000000" w:rsidP="00000000" w:rsidRDefault="00000000" w:rsidRPr="00000000" w14:paraId="00000040">
      <w:pPr>
        <w:spacing w:after="24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4. Resource Allocation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Human 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Recruit or assign qualified personnel with the necessary skills and experience.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 training and development opportunities to enhance any required BIM capabilities and information management requirements for the lifecycle of the project.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Technology 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Procure or licence any appropriate and project specific BIM software and hardware requirements. 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 compatibility and interoperability of BIM tools where possible.</w:t>
      </w:r>
    </w:p>
    <w:p w:rsidR="00000000" w:rsidDel="00000000" w:rsidP="00000000" w:rsidRDefault="00000000" w:rsidRPr="00000000" w14:paraId="00000048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5. Risk Management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Risk Identification: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potential risks related to BIM/IM  implementation, such as data quality issues, technology failures, or stakeholder conflicts.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Assess the likelihood and impact of each risk.</w:t>
      </w:r>
    </w:p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Risk 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 strategies to mitigate identified risks.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contingency plans to address unexpected challenges.</w:t>
      </w:r>
    </w:p>
    <w:p w:rsidR="00000000" w:rsidDel="00000000" w:rsidP="00000000" w:rsidRDefault="00000000" w:rsidRPr="00000000" w14:paraId="00000053">
      <w:pPr>
        <w:spacing w:after="240" w:before="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6. Lessons Learned: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 lessons learned throughout the project to inform future BIM initiatives.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Continuously improve BIM processes and practices based on feedback.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Conclusion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following this mobilisation plan and adhering to the principles of BS EN ISO 19650-2, the project can effectively leverage BIM to improve collaboration, efficiency, and decision-making. The plan provides a framework for setting up the project, managing information, engaging stakeholders, and allocating resources in a BIM-enabled environment.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Note: </w:t>
      </w:r>
      <w:r w:rsidDel="00000000" w:rsidR="00000000" w:rsidRPr="00000000">
        <w:rPr>
          <w:b w:val="1"/>
          <w:sz w:val="20"/>
          <w:szCs w:val="20"/>
          <w:rtl w:val="0"/>
        </w:rPr>
        <w:t xml:space="preserve">This is a general template and may require customisation based on specific project requirements and context. It is essential to tailor the mobilisation plan to the unique needs of each project</w:t>
      </w: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Document Reference: XXXXX-BPC-XX-XX-T-O-00005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HcPrNDsrv2tyxbM9pJc+Eb8LA==">CgMxLjA4AHIhMWxYWDFOSU9EcTdzN29CWU9TdFdoOTRNSUIyUDQyOE1H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