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right"/>
        <w:rPr>
          <w:rFonts w:ascii="Calibri" w:cs="Calibri" w:eastAsia="Calibri" w:hAnsi="Calibri"/>
          <w:b w:val="1"/>
          <w:bCs w:val="1"/>
          <w:sz w:val="34"/>
          <w:szCs w:val="34"/>
        </w:rPr>
      </w:pPr>
      <w:bookmarkStart w:colFirst="0" w:colLast="0" w:name="_4qan5qsclyd0" w:id="0"/>
      <w:bookmarkEnd w:id="0"/>
      <w:r w:rsidDel="00000000" w:rsidR="00000000" w:rsidRPr="00000000">
        <w:rPr>
          <w:rFonts w:ascii="Calibri" w:cs="Calibri" w:eastAsia="Calibri" w:hAnsi="Calibri"/>
          <w:b w:val="1"/>
          <w:bCs w:val="1"/>
          <w:sz w:val="34"/>
          <w:szCs w:val="34"/>
        </w:rPr>
        <w:drawing>
          <wp:inline distB="114300" distT="114300" distL="114300" distR="114300">
            <wp:extent cx="2122798" cy="5113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2798" cy="5113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sz w:val="34"/>
          <w:szCs w:val="34"/>
        </w:rPr>
      </w:pPr>
      <w:bookmarkStart w:colFirst="0" w:colLast="0" w:name="_1905onxsbx1g" w:id="1"/>
      <w:bookmarkEnd w:id="1"/>
      <w:r w:rsidDel="00000000" w:rsidR="00000000" w:rsidRPr="00000000">
        <w:rPr>
          <w:rFonts w:ascii="Calibri" w:cs="Calibri" w:eastAsia="Calibri" w:hAnsi="Calibri"/>
          <w:b w:val="1"/>
          <w:bCs w:val="1"/>
          <w:sz w:val="34"/>
          <w:szCs w:val="34"/>
          <w:rtl w:val="0"/>
        </w:rPr>
        <w:t xml:space="preserve">Bailey Partnership (Group) Ltd. </w:t>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34"/>
          <w:szCs w:val="34"/>
        </w:rPr>
      </w:pPr>
      <w:bookmarkStart w:colFirst="0" w:colLast="0" w:name="_5qa2le3beu1t" w:id="2"/>
      <w:bookmarkEnd w:id="2"/>
      <w:r w:rsidDel="00000000" w:rsidR="00000000" w:rsidRPr="00000000">
        <w:rPr>
          <w:rFonts w:ascii="Calibri" w:cs="Calibri" w:eastAsia="Calibri" w:hAnsi="Calibri"/>
          <w:b w:val="1"/>
          <w:bCs w:val="1"/>
          <w:sz w:val="34"/>
          <w:szCs w:val="34"/>
          <w:rtl w:val="0"/>
        </w:rPr>
        <w:t xml:space="preserve">BS EN ISO 19650 Capability and Capacity Policy Statement</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statement outlines Bailey Partnership (Group) Ltd.'s commitment to managing capability and capacity in accordance with BS EN ISO 19650, ensuring the successful delivery of information management throughout the lifecycle of our projects. We recognise that effective management of our capability and capacity is crucial from the bid stage onwards, and is fundamental to our ability to meet client requirements and deliver high-quality services.</w:t>
      </w:r>
    </w:p>
    <w:p w:rsidR="00000000" w:rsidDel="00000000" w:rsidP="00000000" w:rsidRDefault="00000000" w:rsidRPr="00000000" w14:paraId="0000000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Our Commitment:</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Bailey Partnership (Group) Ltd. is committed to maintaining the necessary capability and capacity to undertake all projects we accept. This commitment is reflected in our processes, training programs, and resource allocation procedures. We strive to:</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Fonts w:ascii="Calibri" w:cs="Calibri" w:eastAsia="Calibri" w:hAnsi="Calibri"/>
          <w:b w:val="1"/>
          <w:bCs w:val="1"/>
          <w:rtl w:val="0"/>
        </w:rPr>
        <w:t xml:space="preserve">Proactive Capability Assessment:</w:t>
      </w:r>
      <w:r w:rsidDel="00000000" w:rsidR="00000000" w:rsidRPr="00000000">
        <w:rPr>
          <w:rFonts w:ascii="Calibri" w:cs="Calibri" w:eastAsia="Calibri" w:hAnsi="Calibri"/>
          <w:rtl w:val="0"/>
        </w:rPr>
        <w:t xml:space="preserve"> From the bid stage onwards, we thoroughly assess the capability requirements of each project. This includes identifying the necessary skills, experience, software proficiency, and other resources required for successful information management. We evaluate our existing capabilities against these requirements and identify any gaps that need to be addressed.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Strategic Capacity Planning:</w:t>
      </w:r>
      <w:r w:rsidDel="00000000" w:rsidR="00000000" w:rsidRPr="00000000">
        <w:rPr>
          <w:rFonts w:ascii="Calibri" w:cs="Calibri" w:eastAsia="Calibri" w:hAnsi="Calibri"/>
          <w:rtl w:val="0"/>
        </w:rPr>
        <w:t xml:space="preserve"> We actively manage our capacity to ensure we have the right resources available at the right time. Regular resource meetings are conducted to review current and projected workloads, allocate staff to projects based on their skills and experience, and proactively identify potential capacity constraints. This process allows us to balance project demands with available resources and avoid overloading our teams.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Competent Resource Allocation:</w:t>
      </w:r>
      <w:r w:rsidDel="00000000" w:rsidR="00000000" w:rsidRPr="00000000">
        <w:rPr>
          <w:rFonts w:ascii="Calibri" w:cs="Calibri" w:eastAsia="Calibri" w:hAnsi="Calibri"/>
          <w:rtl w:val="0"/>
        </w:rPr>
        <w:t xml:space="preserve"> All members of staff allocated to projects are assessed on their abilities to provide the required deliverables. This assessment considers their qualifications, experience, training, and demonstrated competence in relevant areas of information management. We strive to match individual skills with project needs to maximize efficiency and quality.</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Fonts w:ascii="Calibri" w:cs="Calibri" w:eastAsia="Calibri" w:hAnsi="Calibri"/>
          <w:b w:val="1"/>
          <w:bCs w:val="1"/>
          <w:rtl w:val="0"/>
        </w:rPr>
        <w:t xml:space="preserve">Continuous Professional Development:</w:t>
      </w:r>
      <w:r w:rsidDel="00000000" w:rsidR="00000000" w:rsidRPr="00000000">
        <w:rPr>
          <w:rFonts w:ascii="Calibri" w:cs="Calibri" w:eastAsia="Calibri" w:hAnsi="Calibri"/>
          <w:rtl w:val="0"/>
        </w:rPr>
        <w:t xml:space="preserve"> We are committed to the ongoing development of our staff. Training is provided to all members of staff from induction onwards, covering relevant aspects of BS EN ISO 19650 and other industry best practices. We encourage and support continuous professional development to ensure our team's skills and knowledge remain up-to-date with evolving industry standards and project requirements. This includes training on new software, BIM processes, and information management techniques.</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Fonts w:ascii="Calibri" w:cs="Calibri" w:eastAsia="Calibri" w:hAnsi="Calibri"/>
          <w:b w:val="1"/>
          <w:bCs w:val="1"/>
          <w:rtl w:val="0"/>
        </w:rPr>
        <w:t xml:space="preserve">Regular Review and Improvement:</w:t>
      </w:r>
      <w:r w:rsidDel="00000000" w:rsidR="00000000" w:rsidRPr="00000000">
        <w:rPr>
          <w:rFonts w:ascii="Calibri" w:cs="Calibri" w:eastAsia="Calibri" w:hAnsi="Calibri"/>
          <w:rtl w:val="0"/>
        </w:rPr>
        <w:t xml:space="preserve"> This policy and associated procedures are subject to regular review and improvement to ensure their continued effectiveness. We actively seek feedback from our staff and clients to identify areas for enhancement and ensure we are meeting the evolving demands of the industry.</w:t>
      </w:r>
    </w:p>
    <w:p w:rsidR="00000000" w:rsidDel="00000000" w:rsidP="00000000" w:rsidRDefault="00000000" w:rsidRPr="00000000" w14:paraId="0000000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Implementation:</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is implemented through the following key activities: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Fonts w:ascii="Calibri" w:cs="Calibri" w:eastAsia="Calibri" w:hAnsi="Calibri"/>
          <w:b w:val="1"/>
          <w:bCs w:val="1"/>
          <w:rtl w:val="0"/>
        </w:rPr>
        <w:t xml:space="preserve">Bid Management Process:</w:t>
      </w:r>
      <w:r w:rsidDel="00000000" w:rsidR="00000000" w:rsidRPr="00000000">
        <w:rPr>
          <w:rFonts w:ascii="Calibri" w:cs="Calibri" w:eastAsia="Calibri" w:hAnsi="Calibri"/>
          <w:rtl w:val="0"/>
        </w:rPr>
        <w:t xml:space="preserve"> Incorporation of capability and capacity assessments into our bid evaluation process.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Resource Management Process:</w:t>
      </w:r>
      <w:r w:rsidDel="00000000" w:rsidR="00000000" w:rsidRPr="00000000">
        <w:rPr>
          <w:rFonts w:ascii="Calibri" w:cs="Calibri" w:eastAsia="Calibri" w:hAnsi="Calibri"/>
          <w:rtl w:val="0"/>
        </w:rPr>
        <w:t xml:space="preserve"> Regular resource meetings to allocate staff, monitor workloads, and identify training needs.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Training and Development Program:</w:t>
      </w:r>
      <w:r w:rsidDel="00000000" w:rsidR="00000000" w:rsidRPr="00000000">
        <w:rPr>
          <w:rFonts w:ascii="Calibri" w:cs="Calibri" w:eastAsia="Calibri" w:hAnsi="Calibri"/>
          <w:rtl w:val="0"/>
        </w:rPr>
        <w:t xml:space="preserve"> Provision of ongoing training to all staff on relevant aspects of information management and BS EN ISO 19650.</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Fonts w:ascii="Calibri" w:cs="Calibri" w:eastAsia="Calibri" w:hAnsi="Calibri"/>
          <w:b w:val="1"/>
          <w:bCs w:val="1"/>
          <w:rtl w:val="0"/>
        </w:rPr>
        <w:t xml:space="preserve">Performance Management System:</w:t>
      </w:r>
      <w:r w:rsidDel="00000000" w:rsidR="00000000" w:rsidRPr="00000000">
        <w:rPr>
          <w:rFonts w:ascii="Calibri" w:cs="Calibri" w:eastAsia="Calibri" w:hAnsi="Calibri"/>
          <w:rtl w:val="0"/>
        </w:rPr>
        <w:t xml:space="preserve"> Integration of capability and capacity considerations into individual performance reviews.</w:t>
      </w:r>
    </w:p>
    <w:p w:rsidR="00000000" w:rsidDel="00000000" w:rsidP="00000000" w:rsidRDefault="00000000" w:rsidRPr="00000000" w14:paraId="0000001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Responsibility:</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Directors of Bailey Partnership (Group) Ltd. are ultimately responsible for the implementation and maintenance of this policy. All staff members are responsible for adhering to the procedures and guidelines outlined in this policy and contributing to the effective management of capability and capacity within the organization.</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policy demonstrates Bailey Partnership (Group) Ltd.'s commitment to providing a robust and effective framework for managing capability and capacity, ensuring the successful delivery of information management services to our clients.</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Signed</w:t>
        <w:tab/>
        <w:tab/>
        <w:t xml:space="preserve">_____________________________________</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Date </w:t>
        <w:tab/>
        <w:tab/>
        <w:t xml:space="preserve"> _____________________________________</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Name</w:t>
        <w:tab/>
        <w:t xml:space="preserve">/ Position 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