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D5E6A4C">
      <w:pPr>
        <w:pStyle w:val="140"/>
        <w:pBdr/>
        <w:spacing/>
        <w:ind/>
        <w:rPr/>
      </w:pPr>
      <w:r/>
      <w:r>
        <w:t xml:space="preserve">11. ЭКЗАМЕНАЦИОННАЯ ЗАДАЧА</w:t>
      </w:r>
      <w:r/>
      <w:r/>
    </w:p>
    <w:p w14:paraId="1EFD9641">
      <w:pPr>
        <w:pStyle w:val="141"/>
        <w:pBdr/>
        <w:spacing/>
        <w:ind/>
        <w:rPr/>
      </w:pPr>
      <w:r/>
      <w:bookmarkStart w:id="48" w:name="X0096bf18872a9cd38f668da08fefc681d86c87c"/>
      <w:r>
        <w:t xml:space="preserve">ЗАДАЧА: Расчет критической массы и ценности социальной сети</w:t>
      </w:r>
      <w:r/>
      <w:r/>
    </w:p>
    <w:p w14:paraId="1160BFE5">
      <w:pPr>
        <w:pStyle w:val="1_24"/>
        <w:pBdr/>
        <w:spacing/>
        <w:ind/>
        <w:rPr/>
      </w:pPr>
      <w:r>
        <w:rPr>
          <w:b/>
          <w:bCs/>
        </w:rPr>
        <w:t xml:space="preserve">Условие задачи:</w:t>
      </w:r>
      <w:r/>
      <w:r/>
    </w:p>
    <w:p w14:paraId="34959C76">
      <w:pPr>
        <w:pStyle w:val="1_23"/>
        <w:pBdr/>
        <w:spacing/>
        <w:ind/>
        <w:rPr/>
      </w:pPr>
      <w:r>
        <w:t xml:space="preserve">Компания</w:t>
      </w:r>
      <w:r>
        <w:t xml:space="preserve"> </w:t>
      </w:r>
      <w:r>
        <w:t xml:space="preserve">“ГородСоцСеть”</w:t>
      </w:r>
      <w:r>
        <w:t xml:space="preserve"> </w:t>
      </w:r>
      <w:r>
        <w:t xml:space="preserve">запускает социальную сеть для жителей города с населением 1 млн человек. Вам необходимо оценить экономическую ценность сети и определить момент достижения критической массы.</w:t>
      </w:r>
      <w:r/>
      <w:r/>
    </w:p>
    <w:p w14:paraId="46B4D3C6">
      <w:pPr>
        <w:pStyle w:val="1_23"/>
        <w:pBdr/>
        <w:spacing/>
        <w:ind/>
        <w:rPr/>
      </w:pPr>
      <w:r>
        <w:rPr>
          <w:b/>
          <w:bCs/>
        </w:rPr>
        <w:t xml:space="preserve">Исходные данные:</w:t>
      </w:r>
      <w:r/>
      <w:r/>
    </w:p>
    <w:tbl>
      <w:tblPr>
        <w:tblStyle w:val="1_28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 w14:paraId="6A6D988F">
            <w:pPr>
              <w:pStyle w:val="1_25"/>
              <w:pBdr/>
              <w:spacing/>
              <w:ind/>
              <w:rPr/>
            </w:pPr>
            <w:r>
              <w:t xml:space="preserve">Параметр</w:t>
            </w:r>
            <w:r/>
            <w:r/>
          </w:p>
        </w:tc>
        <w:tc>
          <w:tcPr>
            <w:tcBorders/>
          </w:tcPr>
          <w:p w14:paraId="1F454C3A">
            <w:pPr>
              <w:pStyle w:val="1_25"/>
              <w:pBdr/>
              <w:spacing/>
              <w:ind/>
              <w:rPr/>
            </w:pPr>
            <w:r>
              <w:t xml:space="preserve">Значение</w:t>
            </w:r>
            <w:r/>
            <w:r/>
          </w:p>
        </w:tc>
      </w:tr>
      <w:tr>
        <w:trPr/>
        <w:tc>
          <w:tcPr>
            <w:tcBorders/>
          </w:tcPr>
          <w:p w14:paraId="46724C65">
            <w:pPr>
              <w:pStyle w:val="1_25"/>
              <w:pBdr/>
              <w:spacing/>
              <w:ind/>
              <w:rPr/>
            </w:pPr>
            <w:r>
              <w:t xml:space="preserve">Общий потенциал рынка (M)</w:t>
            </w:r>
            <w:r/>
            <w:r/>
          </w:p>
        </w:tc>
        <w:tc>
          <w:tcPr>
            <w:tcBorders/>
          </w:tcPr>
          <w:p w14:paraId="0C3768C1">
            <w:pPr>
              <w:pStyle w:val="1_25"/>
              <w:pBdr/>
              <w:spacing/>
              <w:ind/>
              <w:rPr/>
            </w:pPr>
            <w:r>
              <w:t xml:space="preserve">1 000 000 чел.</w:t>
            </w:r>
            <w:r/>
            <w:r/>
          </w:p>
        </w:tc>
      </w:tr>
      <w:tr>
        <w:trPr/>
        <w:tc>
          <w:tcPr>
            <w:tcBorders/>
          </w:tcPr>
          <w:p w14:paraId="3D988A08">
            <w:pPr>
              <w:pStyle w:val="1_25"/>
              <w:pBdr/>
              <w:spacing/>
              <w:ind/>
              <w:rPr/>
            </w:pPr>
            <w:r>
              <w:t xml:space="preserve">Начальное число пользователей (N₀)</w:t>
            </w:r>
            <w:r/>
            <w:r/>
          </w:p>
        </w:tc>
        <w:tc>
          <w:tcPr>
            <w:tcBorders/>
          </w:tcPr>
          <w:p w14:paraId="0D443E43">
            <w:pPr>
              <w:pStyle w:val="1_25"/>
              <w:pBdr/>
              <w:spacing/>
              <w:ind/>
              <w:rPr/>
            </w:pPr>
            <w:r>
              <w:t xml:space="preserve">5 000 чел.</w:t>
            </w:r>
            <w:r/>
            <w:r/>
          </w:p>
        </w:tc>
      </w:tr>
      <w:tr>
        <w:trPr/>
        <w:tc>
          <w:tcPr>
            <w:tcBorders/>
          </w:tcPr>
          <w:p w14:paraId="6195CA2B">
            <w:pPr>
              <w:pStyle w:val="1_25"/>
              <w:pBdr/>
              <w:spacing/>
              <w:ind/>
              <w:rPr/>
            </w:pPr>
            <w:r>
              <w:t xml:space="preserve">Ежемесячный темп прироста (до критической массы)</w:t>
            </w:r>
            <w:r/>
            <w:r/>
          </w:p>
        </w:tc>
        <w:tc>
          <w:tcPr>
            <w:tcBorders/>
          </w:tcPr>
          <w:p w14:paraId="3F813B2B">
            <w:pPr>
              <w:pStyle w:val="1_25"/>
              <w:pBdr/>
              <w:spacing/>
              <w:ind/>
              <w:rPr/>
            </w:pPr>
            <w:r>
              <w:t xml:space="preserve">3%</w:t>
            </w:r>
            <w:r/>
            <w:r/>
          </w:p>
        </w:tc>
      </w:tr>
      <w:tr>
        <w:trPr/>
        <w:tc>
          <w:tcPr>
            <w:tcBorders/>
          </w:tcPr>
          <w:p w14:paraId="4BF4BAFB">
            <w:pPr>
              <w:pStyle w:val="1_25"/>
              <w:pBdr/>
              <w:spacing/>
              <w:ind/>
              <w:rPr/>
            </w:pPr>
            <w:r>
              <w:t xml:space="preserve">Ежемесячный темп прироста (после критической массы)</w:t>
            </w:r>
            <w:r/>
            <w:r/>
          </w:p>
        </w:tc>
        <w:tc>
          <w:tcPr>
            <w:tcBorders/>
          </w:tcPr>
          <w:p w14:paraId="41AEC225">
            <w:pPr>
              <w:pStyle w:val="1_25"/>
              <w:pBdr/>
              <w:spacing/>
              <w:ind/>
              <w:rPr/>
            </w:pPr>
            <w:r>
              <w:t xml:space="preserve">15%</w:t>
            </w:r>
            <w:r/>
            <w:r/>
          </w:p>
        </w:tc>
      </w:tr>
      <w:tr>
        <w:trPr/>
        <w:tc>
          <w:tcPr>
            <w:tcBorders/>
          </w:tcPr>
          <w:p w14:paraId="072624D7">
            <w:pPr>
              <w:pStyle w:val="1_25"/>
              <w:pBdr/>
              <w:spacing/>
              <w:ind/>
              <w:rPr/>
            </w:pPr>
            <w:r>
              <w:t xml:space="preserve">Коэффициент ценности сети (k)</w:t>
            </w:r>
            <w:r/>
            <w:r/>
          </w:p>
        </w:tc>
        <w:tc>
          <w:tcPr>
            <w:tcBorders/>
          </w:tcPr>
          <w:p w14:paraId="55E2FA1B">
            <w:pPr>
              <w:pStyle w:val="1_25"/>
              <w:pBdr/>
              <w:spacing/>
              <w:ind/>
              <w:rPr/>
            </w:pPr>
            <w:r>
              <w:t xml:space="preserve">0.005 руб./пользователь²</w:t>
            </w:r>
            <w:r/>
            <w:r/>
          </w:p>
        </w:tc>
      </w:tr>
      <w:tr>
        <w:trPr/>
        <w:tc>
          <w:tcPr>
            <w:tcBorders/>
          </w:tcPr>
          <w:p w14:paraId="7919569C">
            <w:pPr>
              <w:pStyle w:val="1_25"/>
              <w:pBdr/>
              <w:spacing/>
              <w:ind/>
              <w:rPr/>
            </w:pPr>
            <w:r>
              <w:t xml:space="preserve">Затраты на поддержание сети в месяц</w:t>
            </w:r>
            <w:r/>
            <w:r/>
          </w:p>
        </w:tc>
        <w:tc>
          <w:tcPr>
            <w:tcBorders/>
          </w:tcPr>
          <w:p w14:paraId="2D6A013E">
            <w:pPr>
              <w:pStyle w:val="1_25"/>
              <w:pBdr/>
              <w:spacing/>
              <w:ind/>
              <w:rPr/>
            </w:pPr>
            <w:r>
              <w:t xml:space="preserve">2 000 000 руб.</w:t>
            </w:r>
            <w:r/>
            <w:r/>
          </w:p>
        </w:tc>
      </w:tr>
      <w:tr>
        <w:trPr/>
        <w:tc>
          <w:tcPr>
            <w:tcBorders/>
          </w:tcPr>
          <w:p w14:paraId="598C98E5">
            <w:pPr>
              <w:pStyle w:val="1_25"/>
              <w:pBdr/>
              <w:spacing/>
              <w:ind/>
              <w:rPr/>
            </w:pPr>
            <w:r>
              <w:t xml:space="preserve">Стоимость привлечения одного пользователя (CAC)</w:t>
            </w:r>
            <w:r/>
            <w:r/>
          </w:p>
        </w:tc>
        <w:tc>
          <w:tcPr>
            <w:tcBorders/>
          </w:tcPr>
          <w:p w14:paraId="2631220F">
            <w:pPr>
              <w:pStyle w:val="1_25"/>
              <w:pBdr/>
              <w:spacing/>
              <w:ind/>
              <w:rPr/>
            </w:pPr>
            <w:r>
              <w:t xml:space="preserve">500 руб.</w:t>
            </w:r>
            <w:r/>
            <w:r/>
          </w:p>
        </w:tc>
      </w:tr>
      <w:tr>
        <w:trPr/>
        <w:tc>
          <w:tcPr>
            <w:tcBorders/>
          </w:tcPr>
          <w:p w14:paraId="7917DA8A">
            <w:pPr>
              <w:pStyle w:val="1_25"/>
              <w:pBdr/>
              <w:spacing/>
              <w:ind/>
              <w:rPr/>
            </w:pPr>
            <w:r>
              <w:t xml:space="preserve">Средний доход с одного пользователя в месяц (ARPU)</w:t>
            </w:r>
            <w:r/>
            <w:r/>
          </w:p>
        </w:tc>
        <w:tc>
          <w:tcPr>
            <w:tcBorders/>
          </w:tcPr>
          <w:p w14:paraId="64BB6076">
            <w:pPr>
              <w:pStyle w:val="1_25"/>
              <w:pBdr/>
              <w:spacing/>
              <w:ind/>
              <w:rPr/>
            </w:pPr>
            <w:r>
              <w:t xml:space="preserve">15 руб.</w:t>
            </w:r>
            <w:r/>
            <w:r/>
          </w:p>
        </w:tc>
      </w:tr>
      <w:tr>
        <w:trPr/>
        <w:tc>
          <w:tcPr>
            <w:tcBorders/>
          </w:tcPr>
          <w:p w14:paraId="0E73DD57">
            <w:pPr>
              <w:pStyle w:val="1_25"/>
              <w:pBdr/>
              <w:spacing/>
              <w:ind/>
              <w:rPr/>
            </w:pPr>
            <w:r>
              <w:t xml:space="preserve">Время горизонта</w:t>
            </w:r>
            <w:r/>
            <w:r/>
          </w:p>
        </w:tc>
        <w:tc>
          <w:tcPr>
            <w:tcBorders/>
          </w:tcPr>
          <w:p w14:paraId="6B41E79B">
            <w:pPr>
              <w:pStyle w:val="1_25"/>
              <w:pBdr/>
              <w:spacing/>
              <w:ind/>
              <w:rPr/>
            </w:pPr>
            <w:r>
              <w:t xml:space="preserve">36 месяцев (3 года)</w:t>
            </w:r>
            <w:r/>
            <w:r/>
          </w:p>
        </w:tc>
      </w:tr>
      <w:tr>
        <w:trPr/>
        <w:tc>
          <w:tcPr>
            <w:tcBorders/>
          </w:tcPr>
          <w:p w14:paraId="1F0CFA25">
            <w:pPr>
              <w:pStyle w:val="1_25"/>
              <w:pBdr/>
              <w:spacing/>
              <w:ind/>
              <w:rPr/>
            </w:pPr>
            <w:r>
              <w:t xml:space="preserve">Ставка дисконтирования</w:t>
            </w:r>
            <w:r/>
            <w:r/>
          </w:p>
        </w:tc>
        <w:tc>
          <w:tcPr>
            <w:tcBorders/>
          </w:tcPr>
          <w:p w14:paraId="1C5D00A4">
            <w:pPr>
              <w:pStyle w:val="1_25"/>
              <w:pBdr/>
              <w:spacing/>
              <w:ind/>
              <w:rPr/>
            </w:pPr>
            <w:r>
              <w:t xml:space="preserve">12% годовых (1% в месяц)</w:t>
            </w:r>
            <w:r/>
            <w:r/>
          </w:p>
        </w:tc>
      </w:tr>
    </w:tbl>
    <w:p w14:paraId="1F6BDDA4">
      <w:pPr>
        <w:pStyle w:val="1_23"/>
        <w:pBdr/>
        <w:spacing/>
        <w:ind/>
        <w:rPr/>
      </w:pPr>
      <w:r>
        <w:rPr>
          <w:b/>
          <w:bCs/>
        </w:rPr>
        <w:t xml:space="preserve">Задание:</w:t>
      </w:r>
      <w:r/>
      <w:r/>
    </w:p>
    <w:p w14:paraId="15562E2C">
      <w:pPr>
        <w:pStyle w:val="1_23"/>
        <w:pBdr/>
        <w:spacing/>
        <w:ind/>
        <w:rPr/>
      </w:pPr>
      <w:r>
        <w:rPr>
          <w:b/>
          <w:bCs/>
        </w:rPr>
        <w:t xml:space="preserve">Часть 1. Расчет критической массы</w:t>
      </w:r>
      <w:r/>
      <w:r/>
    </w:p>
    <w:p w14:paraId="61596DD6">
      <w:pPr>
        <w:numPr>
          <w:ilvl w:val="0"/>
          <w:numId w:val="1"/>
        </w:numPr>
        <w:pBdr/>
        <w:spacing/>
        <w:ind/>
        <w:rPr/>
      </w:pPr>
      <w:r>
        <w:t xml:space="preserve">Определите критическую массу — минимальное число пользователей, при котором сеть становится самоподдерживающейся (доход ≥ затраты на поддержание + CAC).</w:t>
      </w:r>
      <w:r/>
      <w:r/>
    </w:p>
    <w:p w14:paraId="0D1B44F2">
      <w:pPr>
        <w:numPr>
          <w:ilvl w:val="0"/>
          <w:numId w:val="1"/>
        </w:numPr>
        <w:pBdr/>
        <w:spacing/>
        <w:ind/>
        <w:rPr/>
      </w:pPr>
      <w:r>
        <w:t xml:space="preserve">Рассчитайте, через сколько месяцев сеть достигнет критической массы, если:</w:t>
      </w:r>
      <w:r/>
      <w:r/>
    </w:p>
    <w:p w14:paraId="5C491060">
      <w:pPr>
        <w:pStyle w:val="1_25"/>
        <w:numPr>
          <w:ilvl w:val="1"/>
          <w:numId w:val="2"/>
        </w:numPr>
        <w:pBdr/>
        <w:spacing/>
        <w:ind/>
        <w:rPr/>
      </w:pPr>
      <w:r>
        <w:t xml:space="preserve">До критической массы: ежемесячный прирост = 3%</w:t>
      </w:r>
      <w:r/>
      <w:r/>
    </w:p>
    <w:p w14:paraId="7BA6E755">
      <w:pPr>
        <w:pStyle w:val="1_25"/>
        <w:numPr>
          <w:ilvl w:val="1"/>
          <w:numId w:val="2"/>
        </w:numPr>
        <w:pBdr/>
        <w:spacing/>
        <w:ind/>
        <w:rPr/>
      </w:pPr>
      <w:r>
        <w:t xml:space="preserve">После критической массы: ежемесячный прирост = 15%</w:t>
      </w:r>
      <w:r/>
      <w:r/>
    </w:p>
    <w:p w14:paraId="3BEC5338">
      <w:pPr>
        <w:pStyle w:val="1_24"/>
        <w:pBdr/>
        <w:spacing/>
        <w:ind/>
        <w:rPr/>
      </w:pPr>
      <w:r>
        <w:rPr>
          <w:b/>
          <w:bCs/>
        </w:rPr>
        <w:t xml:space="preserve">Часть 2. Оценка ценности сети</w:t>
      </w:r>
      <w:r/>
      <w:r/>
    </w:p>
    <w:p w14:paraId="4194A303">
      <w:pPr>
        <w:numPr>
          <w:ilvl w:val="0"/>
          <w:numId w:val="3"/>
        </w:numPr>
        <w:pBdr/>
        <w:spacing/>
        <w:ind/>
        <w:rPr/>
      </w:pPr>
      <w:r>
        <w:t xml:space="preserve">Рассчитайте ценность сети по закону Мэткалфа для каждого месяца: V(N) = k × N².</w:t>
      </w:r>
      <w:r/>
      <w:r/>
    </w:p>
    <w:p w14:paraId="760B1C18">
      <w:pPr>
        <w:numPr>
          <w:ilvl w:val="0"/>
          <w:numId w:val="3"/>
        </w:numPr>
        <w:pBdr/>
        <w:spacing/>
        <w:ind/>
        <w:rPr/>
      </w:pPr>
      <w:r>
        <w:t xml:space="preserve">Рассчитайте доход от пользователей: R(N) = ARPU × N.</w:t>
      </w:r>
      <w:r/>
      <w:r/>
    </w:p>
    <w:p w14:paraId="16A7D342">
      <w:pPr>
        <w:numPr>
          <w:ilvl w:val="0"/>
          <w:numId w:val="3"/>
        </w:numPr>
        <w:pBdr/>
        <w:spacing/>
        <w:ind/>
        <w:rPr/>
      </w:pPr>
      <w:r>
        <w:t xml:space="preserve">Рассчитайте прибыль сети: П(N) = R(N) - Затраты на поддержание - CAC × (новые пользователи).</w:t>
      </w:r>
      <w:r/>
      <w:r/>
    </w:p>
    <w:p w14:paraId="2E0CA99D">
      <w:pPr>
        <w:pStyle w:val="1_24"/>
        <w:pBdr/>
        <w:spacing/>
        <w:ind/>
        <w:rPr/>
      </w:pPr>
      <w:r>
        <w:rPr>
          <w:b/>
          <w:bCs/>
        </w:rPr>
        <w:t xml:space="preserve">Часть 3. Анализ эффективности</w:t>
      </w:r>
      <w:r/>
      <w:r/>
    </w:p>
    <w:p w14:paraId="5A5772C5">
      <w:pPr>
        <w:numPr>
          <w:ilvl w:val="0"/>
          <w:numId w:val="4"/>
        </w:numPr>
        <w:pBdr/>
        <w:spacing/>
        <w:ind/>
        <w:rPr/>
      </w:pPr>
      <w:r>
        <w:t xml:space="preserve">Рассчитайте NPV проекта за 36 месяцев при ставке дисконтирования 1% в месяц.</w:t>
      </w:r>
      <w:r/>
      <w:r/>
    </w:p>
    <w:p w14:paraId="7E395D14">
      <w:pPr>
        <w:numPr>
          <w:ilvl w:val="0"/>
          <w:numId w:val="4"/>
        </w:numPr>
        <w:pBdr/>
        <w:spacing/>
        <w:ind/>
        <w:rPr/>
      </w:pPr>
      <w:r>
        <w:t xml:space="preserve">Рассчитайте, как изменится NPV при изменении темпа роста:</w:t>
      </w:r>
      <w:r/>
      <w:r/>
    </w:p>
    <w:p w14:paraId="723214CB">
      <w:pPr>
        <w:pStyle w:val="1_25"/>
        <w:numPr>
          <w:ilvl w:val="1"/>
          <w:numId w:val="5"/>
        </w:numPr>
        <w:pBdr/>
        <w:spacing/>
        <w:ind/>
        <w:rPr/>
      </w:pPr>
      <w:r>
        <w:t xml:space="preserve">Пессимистичный: до критической массы = 2%, после = 10%</w:t>
      </w:r>
      <w:r/>
      <w:r/>
    </w:p>
    <w:p w14:paraId="1B17EEB0">
      <w:pPr>
        <w:pStyle w:val="1_25"/>
        <w:numPr>
          <w:ilvl w:val="1"/>
          <w:numId w:val="5"/>
        </w:numPr>
        <w:pBdr/>
        <w:spacing/>
        <w:ind/>
        <w:rPr/>
      </w:pPr>
      <w:r>
        <w:t xml:space="preserve">Оптимистичный: до критической массы = 5%, после = 20%</w:t>
      </w:r>
      <w:r/>
      <w:r/>
    </w:p>
    <w:p w14:paraId="57E23F7D">
      <w:pPr>
        <w:numPr>
          <w:ilvl w:val="0"/>
          <w:numId w:val="4"/>
        </w:numPr>
        <w:pBdr/>
        <w:spacing/>
        <w:ind/>
        <w:rPr/>
      </w:pPr>
      <w:r>
        <w:t xml:space="preserve">Определите, при каком минимальном ARPU проект становится безубыточным.</w:t>
      </w:r>
      <w:r/>
      <w:r/>
    </w:p>
    <w:p w14:paraId="2989B5CA">
      <w:pPr>
        <w:pStyle w:val="1_24"/>
        <w:pBdr/>
        <w:spacing/>
        <w:ind/>
        <w:rPr/>
      </w:pPr>
      <w:r>
        <w:rPr>
          <w:b/>
          <w:bCs/>
        </w:rPr>
        <w:t xml:space="preserve">Часть 4. Стратегические выводы</w:t>
      </w:r>
      <w:r/>
      <w:r/>
    </w:p>
    <w:p w14:paraId="1271D2D8">
      <w:pPr>
        <w:numPr>
          <w:ilvl w:val="0"/>
          <w:numId w:val="6"/>
        </w:numPr>
        <w:pBdr/>
        <w:spacing/>
        <w:ind/>
        <w:rPr/>
      </w:pPr>
      <w:r>
        <w:t xml:space="preserve">Какой объем маркетинговых инвестиций необходим, чтобы достичь критической массы на 6 месяцев раньше?</w:t>
      </w:r>
      <w:r/>
      <w:r/>
    </w:p>
    <w:p w14:paraId="32DB9F12">
      <w:pPr>
        <w:numPr>
          <w:ilvl w:val="0"/>
          <w:numId w:val="6"/>
        </w:numPr>
        <w:pBdr/>
        <w:spacing/>
        <w:ind/>
        <w:rPr/>
      </w:pPr>
      <w:r>
        <w:t xml:space="preserve">Сформулируйте рекомендации по стратегии достижения критической массы для</w:t>
      </w:r>
      <w:r>
        <w:t xml:space="preserve"> </w:t>
      </w:r>
      <w:r>
        <w:t xml:space="preserve">“ГородСоцСеть”</w:t>
      </w:r>
      <w:r>
        <w:t xml:space="preserve">.</w:t>
      </w:r>
      <w:r/>
      <w:r/>
    </w:p>
    <w:p w14:paraId="2564000B">
      <w:pPr>
        <w:pBdr/>
        <w:spacing/>
        <w:ind/>
        <w:rPr/>
      </w:pPr>
      <w:r/>
      <w:bookmarkEnd w:id="48"/>
      <w:r/>
      <w:r/>
    </w:p>
    <w:p w14:paraId="44B2D38E">
      <w:pPr>
        <w:pBdr/>
        <w:spacing/>
        <w:ind/>
        <w:rPr/>
      </w:pPr>
      <w:r/>
      <w:bookmarkEnd w:id="49"/>
      <w:r/>
      <w:r/>
    </w:p>
    <w:p w14:paraId="2556EDBA">
      <w:pPr>
        <w:pStyle w:val="141"/>
        <w:pBdr/>
        <w:spacing/>
        <w:ind/>
        <w:rPr/>
      </w:pPr>
      <w:r/>
      <w:r>
        <w:t xml:space="preserve">Критерии оценки экзаменационной задачи</w:t>
      </w:r>
      <w:r/>
      <w:r/>
    </w:p>
    <w:tbl>
      <w:tblPr>
        <w:tblStyle w:val="1_2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933"/>
        <w:gridCol w:w="2053"/>
        <w:gridCol w:w="2933"/>
      </w:tblGrid>
      <w:tr>
        <w:trPr>
          <w:tblHeader/>
        </w:trPr>
        <w:tc>
          <w:tcPr>
            <w:tcBorders/>
          </w:tcPr>
          <w:p w14:paraId="28EF66E1">
            <w:pPr>
              <w:pStyle w:val="1_25"/>
              <w:pBdr/>
              <w:spacing/>
              <w:ind/>
              <w:rPr/>
            </w:pPr>
            <w:r>
              <w:t xml:space="preserve">Критерий</w:t>
            </w:r>
            <w:r/>
            <w:r/>
          </w:p>
        </w:tc>
        <w:tc>
          <w:tcPr>
            <w:tcBorders/>
          </w:tcPr>
          <w:p w14:paraId="57A05215">
            <w:pPr>
              <w:pStyle w:val="1_25"/>
              <w:pBdr/>
              <w:spacing/>
              <w:ind/>
              <w:rPr/>
            </w:pPr>
            <w:r>
              <w:t xml:space="preserve">Баллы</w:t>
            </w:r>
            <w:r/>
            <w:r/>
          </w:p>
        </w:tc>
        <w:tc>
          <w:tcPr>
            <w:tcBorders/>
          </w:tcPr>
          <w:p w14:paraId="2AFDFF0A">
            <w:pPr>
              <w:pStyle w:val="1_25"/>
              <w:pBdr/>
              <w:spacing/>
              <w:ind/>
              <w:rPr/>
            </w:pPr>
            <w:r>
              <w:t xml:space="preserve">Описание</w:t>
            </w:r>
            <w:r/>
            <w:r/>
          </w:p>
        </w:tc>
      </w:tr>
      <w:tr>
        <w:trPr/>
        <w:tc>
          <w:tcPr>
            <w:tcBorders/>
          </w:tcPr>
          <w:p w14:paraId="2E4E6376">
            <w:pPr>
              <w:pStyle w:val="1_25"/>
              <w:pBdr/>
              <w:spacing/>
              <w:ind/>
              <w:rPr/>
            </w:pPr>
            <w:r>
              <w:rPr>
                <w:b/>
                <w:bCs/>
              </w:rPr>
              <w:t xml:space="preserve">Расчет критической массы</w:t>
            </w:r>
            <w:r/>
            <w:r/>
          </w:p>
        </w:tc>
        <w:tc>
          <w:tcPr>
            <w:tcBorders/>
          </w:tcPr>
          <w:p w14:paraId="1FEC8DAB">
            <w:pPr>
              <w:pStyle w:val="1_25"/>
              <w:pBdr/>
              <w:spacing/>
              <w:ind/>
              <w:rPr/>
            </w:pPr>
            <w:r>
              <w:t xml:space="preserve">3</w:t>
            </w:r>
            <w:r/>
            <w:r/>
          </w:p>
        </w:tc>
        <w:tc>
          <w:tcPr>
            <w:tcBorders/>
          </w:tcPr>
          <w:p w14:paraId="08E29118">
            <w:pPr>
              <w:pStyle w:val="1_25"/>
              <w:pBdr/>
              <w:spacing/>
              <w:ind/>
              <w:rPr/>
            </w:pPr>
            <w:r>
              <w:t xml:space="preserve">Корректный учет ARPU, затрат на поддержание, CAC</w:t>
            </w:r>
            <w:r/>
            <w:r/>
          </w:p>
        </w:tc>
      </w:tr>
      <w:tr>
        <w:trPr/>
        <w:tc>
          <w:tcPr>
            <w:tcBorders/>
          </w:tcPr>
          <w:p w14:paraId="79D3621B">
            <w:pPr>
              <w:pStyle w:val="1_25"/>
              <w:pBdr/>
              <w:spacing/>
              <w:ind/>
              <w:rPr/>
            </w:pPr>
            <w:r>
              <w:rPr>
                <w:b/>
                <w:bCs/>
              </w:rPr>
              <w:t xml:space="preserve">Расчет времени достижения</w:t>
            </w:r>
            <w:r/>
            <w:r/>
          </w:p>
        </w:tc>
        <w:tc>
          <w:tcPr>
            <w:tcBorders/>
          </w:tcPr>
          <w:p w14:paraId="0151D996">
            <w:pPr>
              <w:pStyle w:val="1_25"/>
              <w:pBdr/>
              <w:spacing/>
              <w:ind/>
              <w:rPr/>
            </w:pPr>
            <w:r>
              <w:t xml:space="preserve">2</w:t>
            </w:r>
            <w:r/>
            <w:r/>
          </w:p>
        </w:tc>
        <w:tc>
          <w:tcPr>
            <w:tcBorders/>
          </w:tcPr>
          <w:p w14:paraId="1BC80EAF">
            <w:pPr>
              <w:pStyle w:val="1_25"/>
              <w:pBdr/>
              <w:spacing/>
              <w:ind/>
              <w:rPr/>
            </w:pPr>
            <w:r>
              <w:t xml:space="preserve">Правильное применение экспоненциального роста</w:t>
            </w:r>
            <w:r/>
            <w:r/>
          </w:p>
        </w:tc>
      </w:tr>
      <w:tr>
        <w:trPr/>
        <w:tc>
          <w:tcPr>
            <w:tcBorders/>
          </w:tcPr>
          <w:p w14:paraId="0EA1F681">
            <w:pPr>
              <w:pStyle w:val="1_25"/>
              <w:pBdr/>
              <w:spacing/>
              <w:ind/>
              <w:rPr/>
            </w:pPr>
            <w:r>
              <w:rPr>
                <w:b/>
                <w:bCs/>
              </w:rPr>
              <w:t xml:space="preserve">Оценка ценности сети</w:t>
            </w:r>
            <w:r/>
            <w:r/>
          </w:p>
        </w:tc>
        <w:tc>
          <w:tcPr>
            <w:tcBorders/>
          </w:tcPr>
          <w:p w14:paraId="1F10952C">
            <w:pPr>
              <w:pStyle w:val="1_25"/>
              <w:pBdr/>
              <w:spacing/>
              <w:ind/>
              <w:rPr/>
            </w:pPr>
            <w:r>
              <w:t xml:space="preserve">2</w:t>
            </w:r>
            <w:r/>
            <w:r/>
          </w:p>
        </w:tc>
        <w:tc>
          <w:tcPr>
            <w:tcBorders/>
          </w:tcPr>
          <w:p w14:paraId="6A4F9246">
            <w:pPr>
              <w:pStyle w:val="1_25"/>
              <w:pBdr/>
              <w:spacing/>
              <w:ind/>
              <w:rPr/>
            </w:pPr>
            <w:r>
              <w:t xml:space="preserve">Применение закона Мэткалфа с корректной интерпретацией</w:t>
            </w:r>
            <w:r/>
            <w:r/>
          </w:p>
        </w:tc>
      </w:tr>
      <w:tr>
        <w:trPr/>
        <w:tc>
          <w:tcPr>
            <w:tcBorders/>
          </w:tcPr>
          <w:p w14:paraId="5888D4FF">
            <w:pPr>
              <w:pStyle w:val="1_25"/>
              <w:pBdr/>
              <w:spacing/>
              <w:ind/>
              <w:rPr/>
            </w:pPr>
            <w:r>
              <w:rPr>
                <w:b/>
                <w:bCs/>
              </w:rPr>
              <w:t xml:space="preserve">Расчет NPV</w:t>
            </w:r>
            <w:r/>
            <w:r/>
          </w:p>
        </w:tc>
        <w:tc>
          <w:tcPr>
            <w:tcBorders/>
          </w:tcPr>
          <w:p w14:paraId="256D5A40">
            <w:pPr>
              <w:pStyle w:val="1_25"/>
              <w:pBdr/>
              <w:spacing/>
              <w:ind/>
              <w:rPr/>
            </w:pPr>
            <w:r>
              <w:t xml:space="preserve">3</w:t>
            </w:r>
            <w:r/>
            <w:r/>
          </w:p>
        </w:tc>
        <w:tc>
          <w:tcPr>
            <w:tcBorders/>
          </w:tcPr>
          <w:p w14:paraId="5505BC63">
            <w:pPr>
              <w:pStyle w:val="1_25"/>
              <w:pBdr/>
              <w:spacing/>
              <w:ind/>
              <w:rPr/>
            </w:pPr>
            <w:r>
              <w:t xml:space="preserve">Учет дисконтирования, правильный расчет денежных потоков</w:t>
            </w:r>
            <w:r/>
            <w:r/>
          </w:p>
        </w:tc>
      </w:tr>
      <w:tr>
        <w:trPr/>
        <w:tc>
          <w:tcPr>
            <w:tcBorders/>
          </w:tcPr>
          <w:p w14:paraId="6AE991BA">
            <w:pPr>
              <w:pStyle w:val="1_25"/>
              <w:pBdr/>
              <w:spacing/>
              <w:ind/>
              <w:rPr/>
            </w:pPr>
            <w:r>
              <w:rPr>
                <w:b/>
                <w:bCs/>
              </w:rPr>
              <w:t xml:space="preserve">Анализ чувствительности</w:t>
            </w:r>
            <w:r/>
            <w:r/>
          </w:p>
        </w:tc>
        <w:tc>
          <w:tcPr>
            <w:tcBorders/>
          </w:tcPr>
          <w:p w14:paraId="52EE57EC">
            <w:pPr>
              <w:pStyle w:val="1_25"/>
              <w:pBdr/>
              <w:spacing/>
              <w:ind/>
              <w:rPr/>
            </w:pPr>
            <w:r>
              <w:t xml:space="preserve">2</w:t>
            </w:r>
            <w:r/>
            <w:r/>
          </w:p>
        </w:tc>
        <w:tc>
          <w:tcPr>
            <w:tcBorders/>
          </w:tcPr>
          <w:p w14:paraId="6B980AAE">
            <w:pPr>
              <w:pStyle w:val="1_25"/>
              <w:pBdr/>
              <w:spacing/>
              <w:ind/>
              <w:rPr/>
            </w:pPr>
            <w:r>
              <w:t xml:space="preserve">Корректное варьирование параметров</w:t>
            </w:r>
            <w:r/>
            <w:r/>
          </w:p>
        </w:tc>
      </w:tr>
      <w:tr>
        <w:trPr/>
        <w:tc>
          <w:tcPr>
            <w:tcBorders/>
          </w:tcPr>
          <w:p w14:paraId="35F4003A">
            <w:pPr>
              <w:pStyle w:val="1_25"/>
              <w:pBdr/>
              <w:spacing/>
              <w:ind/>
              <w:rPr/>
            </w:pPr>
            <w:r>
              <w:rPr>
                <w:b/>
                <w:bCs/>
              </w:rPr>
              <w:t xml:space="preserve">Стратегические выводы</w:t>
            </w:r>
            <w:r/>
            <w:r/>
          </w:p>
        </w:tc>
        <w:tc>
          <w:tcPr>
            <w:tcBorders/>
          </w:tcPr>
          <w:p w14:paraId="11E1E616">
            <w:pPr>
              <w:pStyle w:val="1_25"/>
              <w:pBdr/>
              <w:spacing/>
              <w:ind/>
              <w:rPr/>
            </w:pPr>
            <w:r>
              <w:t xml:space="preserve">3</w:t>
            </w:r>
            <w:r/>
            <w:r/>
          </w:p>
        </w:tc>
        <w:tc>
          <w:tcPr>
            <w:tcBorders/>
          </w:tcPr>
          <w:p w14:paraId="1447DB54">
            <w:pPr>
              <w:pStyle w:val="1_25"/>
              <w:pBdr/>
              <w:spacing/>
              <w:ind/>
              <w:rPr/>
            </w:pPr>
            <w:r>
              <w:t xml:space="preserve">Логичные рекомендации, обоснованные расчетами</w:t>
            </w:r>
            <w:r/>
            <w:r/>
          </w:p>
        </w:tc>
      </w:tr>
      <w:tr>
        <w:trPr/>
        <w:tc>
          <w:tcPr>
            <w:tcBorders/>
          </w:tcPr>
          <w:p w14:paraId="31107523">
            <w:pPr>
              <w:pStyle w:val="1_25"/>
              <w:pBdr/>
              <w:spacing/>
              <w:ind/>
              <w:rPr/>
            </w:pPr>
            <w:r>
              <w:rPr>
                <w:b/>
                <w:bCs/>
              </w:rPr>
              <w:t xml:space="preserve">Итого</w:t>
            </w:r>
            <w:r/>
            <w:r/>
          </w:p>
        </w:tc>
        <w:tc>
          <w:tcPr>
            <w:tcBorders/>
          </w:tcPr>
          <w:p w14:paraId="4AB8ED09">
            <w:pPr>
              <w:pStyle w:val="1_25"/>
              <w:pBdr/>
              <w:spacing/>
              <w:ind/>
              <w:rPr/>
            </w:pPr>
            <w:r>
              <w:rPr>
                <w:b/>
                <w:bCs/>
              </w:rPr>
              <w:t xml:space="preserve">15</w:t>
            </w:r>
            <w:r/>
            <w:r/>
          </w:p>
        </w:tc>
        <w:tc>
          <w:tcPr>
            <w:tcBorders/>
          </w:tcPr>
          <w:p w14:paraId="049A96AB">
            <w:pPr>
              <w:pStyle w:val="1_25"/>
              <w:pBdr/>
              <w:spacing/>
              <w:ind/>
              <w:rPr/>
            </w:pPr>
            <w:r/>
            <w:r/>
            <w:r/>
          </w:p>
        </w:tc>
      </w:tr>
    </w:tbl>
    <w:p w14:paraId="52786E9A">
      <w:pPr>
        <w:pBdr/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  <w:r/>
    </w:p>
    <w:p>
      <w:pPr>
        <w:pBdr/>
        <w:spacing/>
        <w:ind/>
        <w:rPr/>
      </w:pPr>
      <w:r>
        <w:rPr>
          <w:i/>
          <w:iCs/>
        </w:rPr>
      </w:r>
      <w:r/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3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3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3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3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3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3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3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3"/>
      <w:suff w:val="tab"/>
    </w:lvl>
  </w:abstractNum>
  <w:abstractNum w:abstractNumId="3">
    <w:nsid w:val="00A994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6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6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6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6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6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6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6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6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6"/>
      <w:suff w:val="tab"/>
    </w:lvl>
  </w:abstractNum>
  <w:abstractNum w:abstractNumId="4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5">
    <w:nsid w:val="00A9941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9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9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9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9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9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9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9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9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9"/>
      <w:suff w:val="tab"/>
    </w:lvl>
  </w:abstractNum>
  <w:abstractNum w:abstractNumId="6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7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8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9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10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5">
    <w:abstractNumId w:val="10"/>
  </w:num>
  <w:num w:numId="6">
    <w:abstractNumId w:val="5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24" w:customStyle="1">
    <w:name w:val="First Paragraph"/>
    <w:basedOn w:val="1_23"/>
    <w:next w:val="70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80" w:afterAutospacing="0" w:before="18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paragraph" w:styleId="1_23" w:customStyle="1">
    <w:name w:val="Body Text"/>
    <w:basedOn w:val="706"/>
    <w:link w:val="749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80" w:afterAutospacing="0" w:before="18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table" w:styleId="1_28" w:customStyle="1">
    <w:name w:val="Table"/>
    <w:semiHidden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20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Theme="minorHAnsi" w:hAnsiTheme="minorHAnsi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  <w:noWrap w:val="false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_25" w:customStyle="1">
    <w:name w:val="Compact"/>
    <w:basedOn w:val="1_2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6" w:afterAutospacing="0" w:before="36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paragraph" w:styleId="1_30" w:customStyle="1">
    <w:name w:val="Source Code"/>
    <w:basedOn w:val="706"/>
    <w:link w:val="750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clear" w:color="auto" w:fill="f1f3f5"/>
      <w:bidi w:val="false"/>
      <w:spacing w:after="200" w:afterAutospacing="0" w:before="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29" w:customStyle="1">
    <w:name w:val="Verbatim Char"/>
    <w:basedOn w:val="749"/>
    <w:pPr>
      <w:pBdr/>
      <w:spacing/>
      <w:ind/>
    </w:pPr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2026-09-07T12:35:23Z</dcterms:modified>
</cp:coreProperties>
</file>