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When developing our HF prototype we used the following ideas from the ENSE 271 lectures</w:t>
      </w:r>
    </w:p>
    <w:p w:rsidR="00000000" w:rsidDel="00000000" w:rsidP="00000000" w:rsidRDefault="00000000" w:rsidRPr="00000000" w14:paraId="00000002">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rFonts w:ascii="Calibri" w:cs="Calibri" w:eastAsia="Calibri" w:hAnsi="Calibri"/>
          <w:b w:val="1"/>
          <w:sz w:val="24"/>
          <w:szCs w:val="24"/>
          <w:rtl w:val="0"/>
        </w:rPr>
        <w:t xml:space="preserve">Gestalt Theory of Mapping:</w:t>
      </w:r>
      <w:r w:rsidDel="00000000" w:rsidR="00000000" w:rsidRPr="00000000">
        <w:rPr>
          <w:rFonts w:ascii="Calibri" w:cs="Calibri" w:eastAsia="Calibri" w:hAnsi="Calibri"/>
          <w:sz w:val="24"/>
          <w:szCs w:val="24"/>
          <w:rtl w:val="0"/>
        </w:rPr>
        <w:t xml:space="preserve"> Our design groups similar things together for our maps and submission, with a common identifier for the group. This can be seen with drop down menus and overlay menus</w:t>
      </w:r>
    </w:p>
    <w:tbl>
      <w:tblPr>
        <w:tblStyle w:val="Table1"/>
        <w:tblW w:w="9120.0" w:type="dxa"/>
        <w:jc w:val="left"/>
        <w:tblInd w:w="3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0"/>
        <w:gridCol w:w="4320"/>
        <w:tblGridChange w:id="0">
          <w:tblGrid>
            <w:gridCol w:w="4800"/>
            <w:gridCol w:w="43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609850" cy="2222500"/>
                  <wp:effectExtent b="0" l="0" r="0" t="0"/>
                  <wp:docPr id="4"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2609850" cy="22225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fields in the form are grouped under an overall heading. It divides the form based on similar fields, making it look  summarized.</w:t>
            </w:r>
          </w:p>
          <w:p w:rsidR="00000000" w:rsidDel="00000000" w:rsidP="00000000" w:rsidRDefault="00000000" w:rsidRPr="00000000" w14:paraId="0000000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group headings inform the user on the type of information they need to fill the form.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148960" cy="26720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148960" cy="26720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our GA charts, we have grouped the indicators under a common heading (Graduate Attribute). The indicators are grouped under the GA they fall under. This groping makes the entire list concise and users can pin point to a specific GA instead of navigating through a long list.</w:t>
            </w:r>
          </w:p>
        </w:tc>
      </w:tr>
    </w:tbl>
    <w:p w:rsidR="00000000" w:rsidDel="00000000" w:rsidP="00000000" w:rsidRDefault="00000000" w:rsidRPr="00000000" w14:paraId="0000000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A">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numPr>
          <w:ilvl w:val="0"/>
          <w:numId w:val="1"/>
        </w:numPr>
        <w:ind w:left="720" w:hanging="360"/>
        <w:rPr>
          <w:sz w:val="24"/>
          <w:szCs w:val="24"/>
        </w:rPr>
      </w:pPr>
      <w:r w:rsidDel="00000000" w:rsidR="00000000" w:rsidRPr="00000000">
        <w:rPr>
          <w:rFonts w:ascii="Calibri" w:cs="Calibri" w:eastAsia="Calibri" w:hAnsi="Calibri"/>
          <w:b w:val="1"/>
          <w:sz w:val="24"/>
          <w:szCs w:val="24"/>
          <w:rtl w:val="0"/>
        </w:rPr>
        <w:t xml:space="preserve">Metaphors: </w:t>
      </w:r>
      <w:r w:rsidDel="00000000" w:rsidR="00000000" w:rsidRPr="00000000">
        <w:rPr>
          <w:rFonts w:ascii="Calibri" w:cs="Calibri" w:eastAsia="Calibri" w:hAnsi="Calibri"/>
          <w:sz w:val="24"/>
          <w:szCs w:val="24"/>
          <w:rtl w:val="0"/>
        </w:rPr>
        <w:t xml:space="preserve">Our prototype incorporates metaphors with the use of a progress bar. This can be seen in the progress bar in the home page.</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3">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2838450" cy="1320800"/>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28384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Using progress bars to show the percentage of data submitted, we displayed how well each program was doing in an easy to understand way. The progress bar acts as a visual metaphor of the overall progress in each program. It gives users a visual of the  progress levels, representing the amount of completed work for each program. Users can understand the information and see the comparisons at a glance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1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rPr>
          <w:sz w:val="24"/>
          <w:szCs w:val="24"/>
        </w:rPr>
      </w:pPr>
      <w:r w:rsidDel="00000000" w:rsidR="00000000" w:rsidRPr="00000000">
        <w:rPr>
          <w:rFonts w:ascii="Calibri" w:cs="Calibri" w:eastAsia="Calibri" w:hAnsi="Calibri"/>
          <w:b w:val="1"/>
          <w:sz w:val="24"/>
          <w:szCs w:val="24"/>
          <w:rtl w:val="0"/>
        </w:rPr>
        <w:t xml:space="preserve">Signifiers and Affordances:</w:t>
      </w:r>
      <w:r w:rsidDel="00000000" w:rsidR="00000000" w:rsidRPr="00000000">
        <w:rPr>
          <w:rFonts w:ascii="Calibri" w:cs="Calibri" w:eastAsia="Calibri" w:hAnsi="Calibri"/>
          <w:sz w:val="24"/>
          <w:szCs w:val="24"/>
          <w:rtl w:val="0"/>
        </w:rPr>
        <w:t xml:space="preserve"> We used signifiers to clarify what each button does to increase user understanding of how they can interact with the site. We used some arrows to show when there is a drop down menu, showing the user that there is hidden information without explicitly stating the kind of information.</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1066800" cy="428625"/>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1066800" cy="42862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added an arrow next to the ‘Resources’ option in the header menu indicating that a dropdown menu will appear when it is clicked.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95605" cy="1673799"/>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5605" cy="1673799"/>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965906" cy="2243138"/>
                  <wp:effectExtent b="0" l="0" r="0" t="0"/>
                  <wp:docPr id="1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5906" cy="22431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downward facing arrows next to our buttons indicating to the users that extra information will appear.</w:t>
            </w:r>
          </w:p>
        </w:tc>
      </w:tr>
    </w:tbl>
    <w:p w:rsidR="00000000" w:rsidDel="00000000" w:rsidP="00000000" w:rsidRDefault="00000000" w:rsidRPr="00000000" w14:paraId="0000001C">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rFonts w:ascii="Calibri" w:cs="Calibri" w:eastAsia="Calibri" w:hAnsi="Calibri"/>
          <w:b w:val="1"/>
          <w:sz w:val="24"/>
          <w:szCs w:val="24"/>
          <w:rtl w:val="0"/>
        </w:rPr>
        <w:t xml:space="preserve">Natural Mapping:</w:t>
      </w:r>
      <w:r w:rsidDel="00000000" w:rsidR="00000000" w:rsidRPr="00000000">
        <w:rPr>
          <w:rFonts w:ascii="Calibri" w:cs="Calibri" w:eastAsia="Calibri" w:hAnsi="Calibri"/>
          <w:sz w:val="24"/>
          <w:szCs w:val="24"/>
          <w:rtl w:val="0"/>
        </w:rPr>
        <w:t xml:space="preserve"> Our website is read from left to right as our North Star customer primarily uses web pages read in this manner. They are also used to using UR Courses so, taking the accordion and other styles from the website creates a similar feel to a page they already use.</w:t>
      </w:r>
    </w:p>
    <w:tbl>
      <w:tblPr>
        <w:tblStyle w:val="Table4"/>
        <w:tblW w:w="9300.0" w:type="dxa"/>
        <w:jc w:val="left"/>
        <w:tblInd w:w="1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20"/>
        <w:gridCol w:w="4680"/>
        <w:tblGridChange w:id="0">
          <w:tblGrid>
            <w:gridCol w:w="462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E">
            <w:pPr>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695605" cy="1673799"/>
                  <wp:effectExtent b="0" l="0" r="0" t="0"/>
                  <wp:docPr id="6"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695605" cy="1673799"/>
                          </a:xfrm>
                          <a:prstGeom prst="rect"/>
                          <a:ln/>
                        </pic:spPr>
                      </pic:pic>
                    </a:graphicData>
                  </a:graphic>
                </wp:inline>
              </w:drawing>
            </w:r>
            <w:r w:rsidDel="00000000" w:rsidR="00000000" w:rsidRPr="00000000">
              <w:rPr>
                <w:rFonts w:ascii="Calibri" w:cs="Calibri" w:eastAsia="Calibri" w:hAnsi="Calibri"/>
                <w:sz w:val="24"/>
                <w:szCs w:val="24"/>
              </w:rPr>
              <w:drawing>
                <wp:inline distB="114300" distT="114300" distL="114300" distR="114300">
                  <wp:extent cx="965906" cy="2243138"/>
                  <wp:effectExtent b="0" l="0" r="0" t="0"/>
                  <wp:docPr id="1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65906" cy="224313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accordion menu is reminiscent of the new menu styles used in UR Courses. As professors are used to using the UR Courses, we tried to implement a similar style to make it easier for the users to navigate in this new site based on their habits.</w:t>
            </w:r>
          </w:p>
        </w:tc>
      </w:tr>
    </w:tbl>
    <w:p w:rsidR="00000000" w:rsidDel="00000000" w:rsidP="00000000" w:rsidRDefault="00000000" w:rsidRPr="00000000" w14:paraId="00000020">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rFonts w:ascii="Calibri" w:cs="Calibri" w:eastAsia="Calibri" w:hAnsi="Calibri"/>
          <w:b w:val="1"/>
          <w:sz w:val="24"/>
          <w:szCs w:val="24"/>
          <w:rtl w:val="0"/>
        </w:rPr>
        <w:t xml:space="preserve">Icons:</w:t>
      </w:r>
      <w:r w:rsidDel="00000000" w:rsidR="00000000" w:rsidRPr="00000000">
        <w:rPr>
          <w:rFonts w:ascii="Calibri" w:cs="Calibri" w:eastAsia="Calibri" w:hAnsi="Calibri"/>
          <w:sz w:val="24"/>
          <w:szCs w:val="24"/>
          <w:rtl w:val="0"/>
        </w:rPr>
        <w:t xml:space="preserve"> Our design makes use of icons as a visual cue to indicate what different buttons do. While there are no icons that stand alone, our icons work as aids for the user to quickly see what they can do, while we use text descriptions to aid if the user is still confused.</w:t>
      </w:r>
    </w:p>
    <w:p w:rsidR="00000000" w:rsidDel="00000000" w:rsidP="00000000" w:rsidRDefault="00000000" w:rsidRPr="00000000" w14:paraId="00000022">
      <w:pPr>
        <w:rPr>
          <w:rFonts w:ascii="Calibri" w:cs="Calibri" w:eastAsia="Calibri" w:hAnsi="Calibri"/>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3295650</wp:posOffset>
            </wp:positionH>
            <wp:positionV relativeFrom="paragraph">
              <wp:posOffset>266700</wp:posOffset>
            </wp:positionV>
            <wp:extent cx="1197178" cy="1552203"/>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1197178" cy="155220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271090</wp:posOffset>
            </wp:positionV>
            <wp:extent cx="2095500" cy="692581"/>
            <wp:effectExtent b="0" l="0" r="0" t="0"/>
            <wp:wrapSquare wrapText="bothSides" distB="114300" distT="114300" distL="114300" distR="114300"/>
            <wp:docPr id="8"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2095500" cy="692581"/>
                    </a:xfrm>
                    <a:prstGeom prst="rect"/>
                    <a:ln/>
                  </pic:spPr>
                </pic:pic>
              </a:graphicData>
            </a:graphic>
          </wp:anchor>
        </w:drawing>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438150</wp:posOffset>
                  </wp:positionH>
                  <wp:positionV relativeFrom="paragraph">
                    <wp:posOffset>771525</wp:posOffset>
                  </wp:positionV>
                  <wp:extent cx="2300288" cy="77190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300288" cy="771909"/>
                          </a:xfrm>
                          <a:prstGeom prst="rect"/>
                          <a:ln/>
                        </pic:spPr>
                      </pic:pic>
                    </a:graphicData>
                  </a:graphic>
                </wp:anchor>
              </w:drawing>
            </w:r>
          </w:p>
        </w:tc>
      </w:tr>
    </w:tbl>
    <w:p w:rsidR="00000000" w:rsidDel="00000000" w:rsidP="00000000" w:rsidRDefault="00000000" w:rsidRPr="00000000" w14:paraId="00000024">
      <w:pPr>
        <w:rPr>
          <w:rFonts w:ascii="Calibri" w:cs="Calibri" w:eastAsia="Calibri" w:hAnsi="Calibri"/>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48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line="480" w:lineRule="auto"/>
      <w:ind w:firstLine="72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