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We used the following topics while choosing the best elements from our individual designs to develop our fourth low fidelity interface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Forcing Functions</w:t>
      </w:r>
      <w:r w:rsidDel="00000000" w:rsidR="00000000" w:rsidRPr="00000000">
        <w:rPr>
          <w:rtl w:val="0"/>
        </w:rPr>
        <w:t xml:space="preserve">: Our design consists of mandatory fields in the OBA form (denoted by star *). Setting mandatory fields forces the instructor to enter data for those fields before they can submit the form. This acts as a form of lock-in to prevent instructors from submitting incomplete data before it is submitted over to the administrators.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Gestalt Theory of Mapping</w:t>
      </w:r>
      <w:r w:rsidDel="00000000" w:rsidR="00000000" w:rsidRPr="00000000">
        <w:rPr>
          <w:rtl w:val="0"/>
        </w:rPr>
        <w:t xml:space="preserve">: Our design consists of similar things being grouped together as it can be seen in the ‘Submit Data’ page and the ‘GA Map’ page. The groupings are done based on the program name and are displayed in the form of a drop down box. Clocking the drop down box reveals the table which shows all the data related to that particular program (group).</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Metaphor</w:t>
      </w:r>
      <w:r w:rsidDel="00000000" w:rsidR="00000000" w:rsidRPr="00000000">
        <w:rPr>
          <w:rtl w:val="0"/>
        </w:rPr>
        <w:t xml:space="preserve">: The progress bar acts as a metaphor. It gives a visual representation of the level of progress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