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References</w:t>
      </w:r>
    </w:p>
    <w:p/>
    <w:p>
      <w:r>
        <w:t>This file collects research papers and foundational references that are directly relevant to the project. The list is grouped by the part of the system it supports.</w:t>
      </w:r>
    </w:p>
    <w:p/>
    <w:p>
      <w:pPr>
        <w:pStyle w:val="Heading2"/>
      </w:pPr>
      <w:r>
        <w:t>1. Multimodal Fusion and Transformers</w:t>
      </w:r>
    </w:p>
    <w:p/>
    <w:p>
      <w:pPr>
        <w:pStyle w:val="ListNumber"/>
        <w:ind w:left="0"/>
      </w:pPr>
      <w:r>
        <w:t>Attention Is All You Need (2017)</w:t>
      </w:r>
    </w:p>
    <w:p>
      <w:pPr>
        <w:pStyle w:val="ListBullet"/>
        <w:ind w:left="360"/>
      </w:pPr>
      <w:r>
        <w:t>Why it matters: the project uses transformer encoders for text and vision variants.</w:t>
      </w:r>
    </w:p>
    <w:p>
      <w:pPr>
        <w:pStyle w:val="ListBullet"/>
        <w:ind w:left="360"/>
      </w:pPr>
      <w:r>
        <w:t>Link: https://arxiv.org/abs/1706.03762</w:t>
      </w:r>
    </w:p>
    <w:p/>
    <w:p>
      <w:pPr>
        <w:pStyle w:val="ListNumber"/>
        <w:ind w:left="0"/>
      </w:pPr>
      <w:r>
        <w:t>MSAF: Multimodal Split Attention Fusion (2020)</w:t>
      </w:r>
    </w:p>
    <w:p>
      <w:pPr>
        <w:pStyle w:val="ListBullet"/>
        <w:ind w:left="360"/>
      </w:pPr>
      <w:r>
        <w:t>Why it matters: relevant to the project's attention-based multimodal fusion design.</w:t>
      </w:r>
    </w:p>
    <w:p>
      <w:pPr>
        <w:pStyle w:val="ListBullet"/>
        <w:ind w:left="360"/>
      </w:pPr>
      <w:r>
        <w:t>Link: https://arxiv.org/abs/2012.07175</w:t>
      </w:r>
    </w:p>
    <w:p/>
    <w:p>
      <w:pPr>
        <w:pStyle w:val="ListNumber"/>
        <w:ind w:left="0"/>
      </w:pPr>
      <w:r>
        <w:t>Attention Bottlenecks for Multimodal Fusion (2021)</w:t>
      </w:r>
    </w:p>
    <w:p>
      <w:pPr>
        <w:pStyle w:val="ListBullet"/>
        <w:ind w:left="360"/>
      </w:pPr>
      <w:r>
        <w:t>Why it matters: useful background for compact multimodal fusion strategies.</w:t>
      </w:r>
    </w:p>
    <w:p>
      <w:pPr>
        <w:pStyle w:val="ListBullet"/>
        <w:ind w:left="360"/>
      </w:pPr>
      <w:r>
        <w:t>Link: https://arxiv.org/abs/2107.00135</w:t>
      </w:r>
    </w:p>
    <w:p/>
    <w:p>
      <w:pPr>
        <w:pStyle w:val="ListNumber"/>
        <w:ind w:left="0"/>
      </w:pPr>
      <w:r>
        <w:t>Grad-CAM: Visual Explanations from Deep Networks via Gradient-based Localization (2016)</w:t>
      </w:r>
    </w:p>
    <w:p>
      <w:pPr>
        <w:pStyle w:val="ListBullet"/>
        <w:ind w:left="360"/>
      </w:pPr>
      <w:r>
        <w:t>Why it matters: the project uses Grad-CAM-style image explanations for handwriting models.</w:t>
      </w:r>
    </w:p>
    <w:p>
      <w:pPr>
        <w:pStyle w:val="ListBullet"/>
        <w:ind w:left="360"/>
      </w:pPr>
      <w:r>
        <w:t>Link: https://arxiv.org/abs/1610.02391</w:t>
      </w:r>
    </w:p>
    <w:p/>
    <w:p>
      <w:pPr>
        <w:pStyle w:val="Heading2"/>
      </w:pPr>
      <w:r>
        <w:t>2. Speech and Audio Representation Learning</w:t>
      </w:r>
    </w:p>
    <w:p/>
    <w:p>
      <w:pPr>
        <w:pStyle w:val="ListNumber"/>
        <w:ind w:left="0"/>
      </w:pPr>
      <w:r>
        <w:t>wav2vec 2.0: A Framework for Self-Supervised Learning of Speech Representations (2020)</w:t>
      </w:r>
    </w:p>
    <w:p>
      <w:pPr>
        <w:pStyle w:val="ListBullet"/>
        <w:ind w:left="360"/>
      </w:pPr>
      <w:r>
        <w:t>Why it matters: a strong reference for the project's self-supervised audio pretraining path.</w:t>
      </w:r>
    </w:p>
    <w:p>
      <w:pPr>
        <w:pStyle w:val="ListBullet"/>
        <w:ind w:left="360"/>
      </w:pPr>
      <w:r>
        <w:t>Link: https://arxiv.org/abs/2006.11477</w:t>
      </w:r>
    </w:p>
    <w:p/>
    <w:p>
      <w:pPr>
        <w:pStyle w:val="ListNumber"/>
        <w:ind w:left="0"/>
      </w:pPr>
      <w:r>
        <w:t>Interpretable Deep Learning Model for the Detection and Reconstruction of Dysarthric Speech (2019)</w:t>
      </w:r>
    </w:p>
    <w:p>
      <w:pPr>
        <w:pStyle w:val="ListBullet"/>
        <w:ind w:left="360"/>
      </w:pPr>
      <w:r>
        <w:t>Why it matters: useful background for the speech feature branch and interpretable speech analysis.</w:t>
      </w:r>
    </w:p>
    <w:p>
      <w:pPr>
        <w:pStyle w:val="ListBullet"/>
        <w:ind w:left="360"/>
      </w:pPr>
      <w:r>
        <w:t>Link: https://arxiv.org/abs/1907.04743</w:t>
      </w:r>
    </w:p>
    <w:p/>
    <w:p>
      <w:pPr>
        <w:pStyle w:val="Heading2"/>
      </w:pPr>
      <w:r>
        <w:t>3. Reading, Dyslexia, and Eye-Tracking</w:t>
      </w:r>
    </w:p>
    <w:p/>
    <w:p>
      <w:pPr>
        <w:pStyle w:val="ListNumber"/>
        <w:ind w:left="0"/>
      </w:pPr>
      <w:r>
        <w:t>RADAR: A Novel Fast-Screening Method for Reading Difficulties with Special Focus on Dyslexia (2016)</w:t>
      </w:r>
    </w:p>
    <w:p>
      <w:pPr>
        <w:pStyle w:val="ListBullet"/>
        <w:ind w:left="360"/>
      </w:pPr>
      <w:r>
        <w:t>Why it matters: a strong reference for eye-tracking-based reading difficulty screening.</w:t>
      </w:r>
    </w:p>
    <w:p>
      <w:pPr>
        <w:pStyle w:val="ListBullet"/>
        <w:ind w:left="360"/>
      </w:pPr>
      <w:r>
        <w:t>Link: https://arxiv.org/abs/1611.05669</w:t>
      </w:r>
    </w:p>
    <w:p/>
    <w:p>
      <w:pPr>
        <w:pStyle w:val="ListNumber"/>
        <w:ind w:left="0"/>
      </w:pPr>
      <w:r>
        <w:t>Reading ability detection using eye-tracking data with LSTM-based few-shot learning (2024)</w:t>
      </w:r>
    </w:p>
    <w:p>
      <w:pPr>
        <w:pStyle w:val="ListBullet"/>
        <w:ind w:left="360"/>
      </w:pPr>
      <w:r>
        <w:t>Why it matters: relevant to the project's visual focus and eye-tracking analysis path.</w:t>
      </w:r>
    </w:p>
    <w:p>
      <w:pPr>
        <w:pStyle w:val="ListBullet"/>
        <w:ind w:left="360"/>
      </w:pPr>
      <w:r>
        <w:t>Link: https://arxiv.org/abs/2409.08798</w:t>
      </w:r>
    </w:p>
    <w:p/>
    <w:p>
      <w:pPr>
        <w:pStyle w:val="ListNumber"/>
        <w:ind w:left="0"/>
      </w:pPr>
      <w:r>
        <w:t>An Approach to Track Reading Progression Using Eye-Gaze Fixation Points (2019)</w:t>
      </w:r>
    </w:p>
    <w:p>
      <w:pPr>
        <w:pStyle w:val="ListBullet"/>
        <w:ind w:left="360"/>
      </w:pPr>
      <w:r>
        <w:t>Why it matters: useful for understanding fixation-based reading progression and gaze metrics.</w:t>
      </w:r>
    </w:p>
    <w:p>
      <w:pPr>
        <w:pStyle w:val="ListBullet"/>
        <w:ind w:left="360"/>
      </w:pPr>
      <w:r>
        <w:t>Link: https://arxiv.org/abs/1902.03322</w:t>
      </w:r>
    </w:p>
    <w:p/>
    <w:p>
      <w:pPr>
        <w:pStyle w:val="ListNumber"/>
        <w:ind w:left="0"/>
      </w:pPr>
      <w:r>
        <w:t>Let AI Read First: Enhancing Reading Abilities for Individuals with Dyslexia through Artificial Intelligence (2025)</w:t>
      </w:r>
    </w:p>
    <w:p>
      <w:pPr>
        <w:pStyle w:val="ListBullet"/>
        <w:ind w:left="720"/>
      </w:pPr>
      <w:r>
        <w:t>Why it matters: directly relevant to assistive reading support for learners with dyslexia.</w:t>
      </w:r>
    </w:p>
    <w:p>
      <w:pPr>
        <w:pStyle w:val="ListBullet"/>
        <w:ind w:left="720"/>
      </w:pPr>
      <w:r>
        <w:t>Link: https://arxiv.org/abs/2504.00941</w:t>
      </w:r>
    </w:p>
    <w:p/>
    <w:p>
      <w:pPr>
        <w:pStyle w:val="Heading2"/>
      </w:pPr>
      <w:r>
        <w:t>4. Handwriting and Dysgraphia</w:t>
      </w:r>
    </w:p>
    <w:p/>
    <w:p>
      <w:pPr>
        <w:pStyle w:val="ListNumber"/>
        <w:ind w:left="0"/>
      </w:pPr>
      <w:r>
        <w:t>Automated dysgraphia detection by deep learning with SensoGrip (2022)</w:t>
      </w:r>
    </w:p>
    <w:p>
      <w:pPr>
        <w:pStyle w:val="ListBullet"/>
        <w:ind w:left="720"/>
      </w:pPr>
      <w:r>
        <w:t>Why it matters: relevant to handwriting-based learning-disorder screening and early intervention.</w:t>
      </w:r>
    </w:p>
    <w:p>
      <w:pPr>
        <w:pStyle w:val="ListBullet"/>
        <w:ind w:left="720"/>
      </w:pPr>
      <w:r>
        <w:t>Link: https://arxiv.org/abs/2210.07659</w:t>
      </w:r>
    </w:p>
    <w:p/>
    <w:p>
      <w:pPr>
        <w:pStyle w:val="ListNumber"/>
        <w:ind w:left="0"/>
      </w:pPr>
      <w:r>
        <w:t>Handwriting Anomalies and Learning Disabilities through Recurrent Neural Networks and Geometric Pattern Analysis (2024)</w:t>
      </w:r>
    </w:p>
    <w:p>
      <w:pPr>
        <w:pStyle w:val="ListBullet"/>
        <w:ind w:left="720"/>
      </w:pPr>
      <w:r>
        <w:t>Why it matters: useful background for handwritten anomaly analysis and learning-disorder inference.</w:t>
      </w:r>
    </w:p>
    <w:p>
      <w:pPr>
        <w:pStyle w:val="ListBullet"/>
        <w:ind w:left="720"/>
      </w:pPr>
      <w:r>
        <w:t>Link: https://arxiv.org/abs/2405.07238</w:t>
      </w:r>
    </w:p>
    <w:p/>
    <w:p>
      <w:pPr>
        <w:pStyle w:val="ListNumber"/>
        <w:ind w:left="0"/>
      </w:pPr>
      <w:r>
        <w:t>Towards Accessible Learning: Deep Learning-Based Potential Dysgraphia Detection and OCR for Potentially Dysgraphic Handwriting (2024)</w:t>
      </w:r>
    </w:p>
    <w:p>
      <w:pPr>
        <w:pStyle w:val="ListBullet"/>
        <w:ind w:left="720"/>
      </w:pPr>
      <w:r>
        <w:t>Why it matters: supports the project's handwriting recognition and dysgraphia-related research direction.</w:t>
      </w:r>
    </w:p>
    <w:p>
      <w:pPr>
        <w:pStyle w:val="ListBullet"/>
        <w:ind w:left="720"/>
      </w:pPr>
      <w:r>
        <w:t>Link: https://arxiv.org/abs/2411.13595</w:t>
      </w:r>
    </w:p>
    <w:p/>
    <w:p>
      <w:pPr>
        <w:pStyle w:val="Heading2"/>
      </w:pPr>
      <w:r>
        <w:t>5. Related Supportive References</w:t>
      </w:r>
    </w:p>
    <w:p/>
    <w:p>
      <w:pPr>
        <w:pStyle w:val="ListNumber"/>
        <w:ind w:left="0"/>
      </w:pPr>
      <w:r>
        <w:t>Multimodal Fusion Learning with Dual Attention for Medical Imaging (2024)</w:t>
      </w:r>
    </w:p>
    <w:p>
      <w:pPr>
        <w:pStyle w:val="ListBullet"/>
        <w:ind w:left="720"/>
      </w:pPr>
      <w:r>
        <w:t>Why it matters: not a dyslexia paper, but useful for understanding dual-attention fusion patterns.</w:t>
      </w:r>
    </w:p>
    <w:p>
      <w:pPr>
        <w:pStyle w:val="ListBullet"/>
        <w:ind w:left="720"/>
      </w:pPr>
      <w:r>
        <w:t>Link: https://arxiv.org/abs/2412.01248</w:t>
      </w:r>
    </w:p>
    <w:p/>
    <w:p>
      <w:pPr>
        <w:pStyle w:val="ListNumber"/>
        <w:ind w:left="0"/>
      </w:pPr>
      <w:r>
        <w:t>Attention-guided Multi-step Fusion: A Hierarchical Fusion Network for Multimodal Recommendation (2023)</w:t>
      </w:r>
    </w:p>
    <w:p>
      <w:pPr>
        <w:pStyle w:val="ListBullet"/>
        <w:ind w:left="720"/>
      </w:pPr>
      <w:r>
        <w:t>Why it matters: provides another useful attention-fusion reference for multimodal design.</w:t>
      </w:r>
    </w:p>
    <w:p>
      <w:pPr>
        <w:pStyle w:val="ListBullet"/>
        <w:ind w:left="720"/>
      </w:pPr>
      <w:r>
        <w:t>Link: https://arxiv.org/abs/2304.11979</w:t>
      </w:r>
    </w:p>
    <w:p/>
    <w:p>
      <w:pPr>
        <w:pStyle w:val="Heading2"/>
      </w:pPr>
      <w:r>
        <w:t>6. How To Use These References</w:t>
      </w:r>
    </w:p>
    <w:p/>
    <w:p>
      <w:pPr>
        <w:pStyle w:val="ListBullet"/>
        <w:ind w:left="0"/>
      </w:pPr>
      <w:r>
        <w:t>Use the multimodal fusion and transformer papers when discussing the core architecture.</w:t>
      </w:r>
    </w:p>
    <w:p>
      <w:pPr>
        <w:pStyle w:val="ListBullet"/>
        <w:ind w:left="0"/>
      </w:pPr>
      <w:r>
        <w:t>Use the eye-tracking papers when discussing the visual focus test and gaze-based metrics.</w:t>
      </w:r>
    </w:p>
    <w:p>
      <w:pPr>
        <w:pStyle w:val="ListBullet"/>
        <w:ind w:left="0"/>
      </w:pPr>
      <w:r>
        <w:t>Use the handwriting and dysgraphia papers when discussing handwriting analysis and biomarkers.</w:t>
      </w:r>
    </w:p>
    <w:p>
      <w:pPr>
        <w:pStyle w:val="ListBullet"/>
        <w:ind w:left="0"/>
      </w:pPr>
      <w:r>
        <w:t>Use the speech papers when discussing audio pretraining and spoken-response support.</w:t>
      </w:r>
    </w:p>
    <w:p>
      <w:pPr>
        <w:pStyle w:val="ListBullet"/>
        <w:ind w:left="0"/>
      </w:pPr>
      <w:r>
        <w:t>Use the assistive reading paper when discussing intervention or user-facing reading support.</w:t>
      </w:r>
    </w:p>
    <w:p/>
    <w:p>
      <w:pPr>
        <w:pStyle w:val="Heading2"/>
      </w:pPr>
      <w:r>
        <w:t>7. Related Documentation</w:t>
      </w:r>
    </w:p>
    <w:p/>
    <w:p>
      <w:r>
        <w:t>For the current project-specific evaluation flow, also see:</w:t>
      </w:r>
    </w:p>
    <w:p/>
    <w:p>
      <w:pPr>
        <w:pStyle w:val="ListBullet"/>
        <w:ind w:left="0"/>
      </w:pPr>
      <w:r>
        <w:t>docs/MODELCATALOG.md (/d:/Project/DyslexiaDetectionSystem/docs/MODELCATALOG.md)</w:t>
      </w:r>
    </w:p>
    <w:p>
      <w:pPr>
        <w:pStyle w:val="ListBullet"/>
        <w:ind w:left="0"/>
      </w:pPr>
      <w:r>
        <w:t>docs/furtherresearch/experimentmatrix.md (/d:/Project/DyslexiaDetectionSystem/docs/furtherresearch/experimentmatrix.md)</w:t>
      </w:r>
    </w:p>
    <w:p>
      <w:pPr>
        <w:pStyle w:val="ListBullet"/>
        <w:ind w:left="0"/>
      </w:pPr>
      <w:r>
        <w:t>docs/PROJECTDOCUMENTATION.md (/d:/Project/DyslexiaDetectionSystem/docs/PROJECTDOCUMENTATION.md)</w:t>
      </w:r>
    </w:p>
    <w:p/>
    <w:p>
      <w:pPr>
        <w:pStyle w:val="Heading2"/>
      </w:pPr>
      <w:r>
        <w:t>8. Notes</w:t>
      </w:r>
    </w:p>
    <w:p/>
    <w:p>
      <w:pPr>
        <w:pStyle w:val="ListBullet"/>
        <w:ind w:left="0"/>
      </w:pPr>
      <w:r>
        <w:t>Some papers are direct project matches.</w:t>
      </w:r>
    </w:p>
    <w:p>
      <w:pPr>
        <w:pStyle w:val="ListBullet"/>
        <w:ind w:left="0"/>
      </w:pPr>
      <w:r>
        <w:t>Some papers are adjacent references that support the same architectural ideas.</w:t>
      </w:r>
    </w:p>
    <w:p>
      <w:pPr>
        <w:pStyle w:val="ListBullet"/>
        <w:ind w:left="0"/>
      </w:pPr>
      <w:r>
        <w:t>If you prepare a paper or thesis, it is best to cite the most directly relevant papers from each section rather than all of them.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