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Formatted Documentation Export</w:t>
      </w:r>
    </w:p>
    <w:p>
      <w:r>
        <w:t>This folder contains the generated PDF and DOCX copies of the project documentation.</w:t>
      </w:r>
    </w:p>
    <w:p>
      <w:r>
        <w:t>Use the pdf/ and docx/ subfolders to open the exported files.</w:t>
      </w:r>
    </w:p>
    <w:p>
      <w:r>
        <w:t>PDF folder: D:\Project\Dyslexia_Detection_System\docs\formatted_documents\pdf</w:t>
      </w:r>
    </w:p>
    <w:p>
      <w:r>
        <w:t>DOCX folder: D:\Project\Dyslexia_Detection_System\docs\formatted_documents\docx</w:t>
      </w:r>
    </w:p>
    <w:p>
      <w:r>
        <w:t>Source Markdown files remain in their original locations.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