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Configuration Examples</w:t>
      </w:r>
    </w:p>
    <w:p/>
    <w:p>
      <w:r>
        <w:t xml:space="preserve">The repository includes a few example JSON files under examples/ to help you get the training pipeline running quickly.</w:t>
      </w:r>
    </w:p>
    <w:p/>
    <w:p>
      <w:r>
        <w:t xml:space="preserve">## dataset_roots.example.json</w:t>
      </w:r>
    </w:p>
    <w:p/>
    <w:p>
      <w:r>
        <w:t xml:space="preserve">Use this as the starting point for local training runs. It includes:</w:t>
      </w:r>
    </w:p>
    <w:p/>
    <w:p>
      <w:r>
        <w:t xml:space="preserve">- daic_woz_root</w:t>
      </w:r>
    </w:p>
    <w:p>
      <w:r>
        <w:t xml:space="preserve">- meld_root</w:t>
      </w:r>
    </w:p>
    <w:p>
      <w:r>
        <w:t xml:space="preserve">- ravdess_root</w:t>
      </w:r>
    </w:p>
    <w:p>
      <w:r>
        <w:t xml:space="preserve">- manifest_dir</w:t>
      </w:r>
    </w:p>
    <w:p>
      <w:r>
        <w:t xml:space="preserve">- ravdess_frames_dir</w:t>
      </w:r>
    </w:p>
    <w:p>
      <w:r>
        <w:t xml:space="preserve">- comorbidity_balanced_manifest</w:t>
      </w:r>
    </w:p>
    <w:p>
      <w:r>
        <w:t xml:space="preserve">- comorbidity_target_rows</w:t>
      </w:r>
    </w:p>
    <w:p/>
    <w:p>
      <w:r>
        <w:t xml:space="preserve">The comorbidity bootstrapped manifest now defaults to tmp_datasets/comorbidity_60k.csv, with comorbidity_target_rows set to 60000 and a balanced bucket target mix.</w:t>
      </w:r>
    </w:p>
    <w:p/>
    <w:p>
      <w:r>
        <w:t xml:space="preserve">Why that path:</w:t>
      </w:r>
    </w:p>
    <w:p/>
    <w:p>
      <w:r>
        <w:t xml:space="preserve">- the repository had a locked data/manifests/comorbidity_balanced.csv file in this workspace</w:t>
      </w:r>
    </w:p>
    <w:p>
      <w:r>
        <w:t xml:space="preserve">- tmp_datasets/ is writable and safe for regenerated pipeline artifacts</w:t>
      </w:r>
    </w:p>
    <w:p>
      <w:r>
        <w:t xml:space="preserve">- the training pipeline and README now both point to that writable location by default</w:t>
      </w:r>
    </w:p>
    <w:p/>
    <w:p>
      <w:r>
        <w:t xml:space="preserve">## dataset_roots_and_federated.example.json</w:t>
      </w:r>
    </w:p>
    <w:p/>
    <w:p>
      <w:r>
        <w:t xml:space="preserve">Use this when you want the same dataset roots plus a federated training example.</w:t>
      </w:r>
    </w:p>
    <w:p/>
    <w:p>
      <w:r>
        <w:t xml:space="preserve">It includes the same writable manifest path so federated and non-federated runs stay aligned.</w:t>
      </w:r>
    </w:p>
    <w:p/>
    <w:p>
      <w:r>
        <w:t xml:space="preserve">## Local Copies</w:t>
      </w:r>
    </w:p>
    <w:p/>
    <w:p>
      <w:r>
        <w:t xml:space="preserve">When you copy the examples to a local file, you can adjust the dataset roots and leave the writable manifest path as-is:</w:t>
      </w:r>
    </w:p>
    <w:p/>
    <w:p>
      <w:r>
        <w:t xml:space="preserve">Copy-Item examples\dataset_roots.example.json examples\dataset_roots.local.json</w:t>
      </w:r>
    </w:p>
    <w:p>
      <w:r>
        <w:t xml:space="preserve">Copy-Item examples\dataset_roots_and_federated.example.json examples\dataset_roots_and_federated.local.json</w:t>
      </w:r>
    </w:p>
    <w:p/>
    <w:p>
      <w:r>
        <w:t xml:space="preserve">If the locked CSV issue is resolved later, you can point comorbidity_balanced_manifest back to data/manifests/comorbidity_balanced.csv, but that is no longer the default.</w:t>
      </w:r>
    </w:p>
    <w:p/>
    <w:p>
      <w:r>
        <w:t xml:space="preserve">## Notes on Current Training Priorities</w:t>
      </w:r>
    </w:p>
    <w:p/>
    <w:p>
      <w:r>
        <w:t xml:space="preserve">The training pipeline currently treats:</w:t>
      </w:r>
    </w:p>
    <w:p/>
    <w:p>
      <w:r>
        <w:t xml:space="preserve">- text_transformer as the primary text bundle,</w:t>
      </w:r>
    </w:p>
    <w:p>
      <w:r>
        <w:t xml:space="preserve">- audio as the primary audio bundle,</w:t>
      </w:r>
    </w:p>
    <w:p>
      <w:r>
        <w:t xml:space="preserve">- image_dl as the primary image bundle,</w:t>
      </w:r>
    </w:p>
    <w:p>
      <w:r>
        <w:t xml:space="preserve">- comorbidity as a downstream head that should be retrained after the upstream modalities stabilize.</w:t>
      </w:r>
    </w:p>
    <w:p/>
    <w:sectPr>
      <w:pgSz w:w="12240" w:h="15840"/>
      <w:pgMar w:top="1440" w:right="1440" w:bottom="1440" w:left="1440" w:header="708" w:footer="708" w:gutter="0"/>
    </w:sectPr>
  </w:body>
</w:document>
</file>