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controlled experiment showing model choice moves text-classification F1 33x more than pipeline design (0.230 vs 0.007), redirecting the team's roadmap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conformal accept and abstain thresholds that bound the error rate on accepted labels, giving every label a calibrated 0–100 confidence.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Gated every prompt release on Prompt Flow LLM-as-judge evals for groundedness, relevance and coherence.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search relevance 15% over baseline with an n-gram ranking model over cleaned researcher-profile text.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desk-demand prediction model on historical occupancy by floor, day and team, served from Redis to 300+ offices; reported occupancy improved 30%.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Tools: </w:t>
      </w:r>
      <w:r>
        <w:rPr>
          <w:rFonts w:ascii="Lato" w:hAnsi="Lato" w:cs="Lato"/>
          <w:sz w:val="21"/>
          <w:szCs w:val="21"/>
          <w:color w:val="111111"/>
        </w:rPr>
        <w:t xml:space="preserve">Python, SQL, pandas, NumPy, SciPy, statsmodels, DuckDB, PyTorch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Statistics &amp; ML: </w:t>
      </w:r>
      <w:r>
        <w:rPr>
          <w:rFonts w:ascii="Lato" w:hAnsi="Lato" w:cs="Lato"/>
          <w:sz w:val="21"/>
          <w:szCs w:val="21"/>
          <w:color w:val="111111"/>
        </w:rPr>
        <w:t xml:space="preserve">Hypothesis testing, causal inference, experiment design, conformal prediction, calibration, text classification, recommendation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Evaluation &amp; Visualization: </w:t>
      </w:r>
      <w:r>
        <w:rPr>
          <w:rFonts w:ascii="Lato" w:hAnsi="Lato" w:cs="Lato"/>
          <w:sz w:val="21"/>
          <w:szCs w:val="21"/>
          <w:color w:val="111111"/>
        </w:rPr>
        <w:t xml:space="preserve">Benchmark design, F1, precision@k, inter-rater agreement, LLM evals, Vega-Lite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