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controlled experiment showing model choice moves text-classification F1 33x more than pipeline design (0.230 vs 0.007), redirecting the team's roadmap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conformal accept and abstain thresholds that bound the error rate on accepted labels, giving every label a calibrated 0–100 confidence.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blind random QC audits per run that yield both a quality score and a corrected estimate published with its margin of error.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Retired a 0.637 baseline the project's claims rested on after fresh runs reproduced it at 0.523, tracing the gap to a human-reviewed delivery file.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cross-run disagreements from 30,405 to 263 across 411 runs by giving every column one meaning in one semantic model.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Calibrated codebook fit before labeling: a 25-row sample separated the right codebook at 0.598 with 4% abstention vs 0.316 and 88%, for about $0.001.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search relevance 15% over baseline with an n-gram ranking model over cleaned researcher-profile text.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desk-demand prediction model on historical occupancy by floor, day and team, served from Redis to 300+ offices; reported occupancy improved 30%.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DPO, KTO and IPO preference-training variants;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Tools: </w:t>
      </w:r>
      <w:r>
        <w:rPr>
          <w:rFonts w:ascii="Lato" w:hAnsi="Lato" w:cs="Lato"/>
          <w:sz w:val="21"/>
          <w:szCs w:val="21"/>
          <w:color w:val="111111"/>
        </w:rPr>
        <w:t xml:space="preserve">Python, SQL, pandas, NumPy, SciPy, statsmodels, DuckDB, PyTorch, Diffusers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Statistics: </w:t>
      </w:r>
      <w:r>
        <w:rPr>
          <w:rFonts w:ascii="Lato" w:hAnsi="Lato" w:cs="Lato"/>
          <w:sz w:val="21"/>
          <w:szCs w:val="21"/>
          <w:color w:val="111111"/>
        </w:rPr>
        <w:t xml:space="preserve">Hypothesis testing, causal inference, experiment design, survey weighting, sampling, margin of error, conformal prediction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Machine Learning: </w:t>
      </w:r>
      <w:r>
        <w:rPr>
          <w:rFonts w:ascii="Lato" w:hAnsi="Lato" w:cs="Lato"/>
          <w:sz w:val="21"/>
          <w:szCs w:val="21"/>
          <w:color w:val="111111"/>
        </w:rPr>
        <w:t xml:space="preserve">Text classification, embeddings, recommendation, ranking, entity resolution, preference training (DPO), LLMs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Evaluation: </w:t>
      </w:r>
      <w:r>
        <w:rPr>
          <w:rFonts w:ascii="Lato" w:hAnsi="Lato" w:cs="Lato"/>
          <w:sz w:val="21"/>
          <w:szCs w:val="21"/>
          <w:color w:val="111111"/>
        </w:rPr>
        <w:t xml:space="preserve">Benchmark design, F1, precision@k, recall, inter-rater agreement, calibration, LLM-as-judge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&amp; Visualization: </w:t>
      </w:r>
      <w:r>
        <w:rPr>
          <w:rFonts w:ascii="Lato" w:hAnsi="Lato" w:cs="Lato"/>
          <w:sz w:val="21"/>
          <w:szCs w:val="21"/>
          <w:color w:val="111111"/>
        </w:rPr>
        <w:t xml:space="preserve">PostgreSQL, pgvector, FAISS, Neo4j, AWS Bedrock, Vega-Lite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