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San Francisco Bay Area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Showed model choice moves accuracy 33x more than pipeline design across models costing $5–$89 per 100k rows, redirecting the team's recommendation from accuracy to reliability.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Benchmarked the platform against Claude Opus 5.5 working blind on public survey data, cutting wrong charts 93% with judge-free rule checks and an expert-calibrated LLM judge.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plain-English chart experience in Nuxt where readers stack, sort, filter, take top-N and undo directly, backed by in-process DuckDB that held latency flat as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chart recommender over 17 chart types grounded in visualization research, accepting an LLM suggestion only when it outscores the rules.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Implemented pause-and-resume on LangGraph interrupts, so a record missing context waits at its checkpoint instead of failing the batch.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Prompt Flow eval harness scoring groundedness, relevance and coherence to gate every prompt change on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engagement 35% and reduced bounce 20% with React and Material UI tools for the assessment platform: bulk import, cross-bank question reuse and a diff view before republishing.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Rewrote the ETL to be idempotent on a natural key, so a rerun after partial failure updates rows rather than duplicating them.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Migrated a C# .NET monolith to Dockerized Kubernetes microservices, reducing infrastructure cost 20% and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the student-listing screen 30% with paginated fetching and S3 asset delivery, then another 10% with index-covering query rewrites after profiling found a full table scan.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09/2021 - 12/2021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05/2021 - 08/2021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the portal's login flow and API calls, since the utility publishes no API documentation.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