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San Francisco Bay Area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Unlocked a time axis on roughly 70% of real exports that hid timestamps inside identifiers, through a five-stage intake that also survives UTF-16 and duplicate-header files.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Blocked a cross-survey join that double counted respondents, using a fingerprint that detects runs sharing the same people.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labeling spend by testing codebook fit on a 25-row sample first, separating a workable codebook (0.598 fit) from an unusable one (0.316) for about $0.001.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governance in the POC: Bedrock Guardrails as their own CDK stack, entitlement-gated respondent retrieval, and per-stage spend caps enforced in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Authored the target production architecture: 80 logged decisions and 200+ measured experiments, grounded in prior art including SSSOM, DDI, Metabase MBQL, Vega-Lite, Draco and LIDA.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Reset the team's accuracy baseline after tracing a reported 0.637 F1 to a hand-reviewed spreadsheet; fresh runs reproduce 0.523.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fixed-size against section-aware chunking on real course documents before choosing, because a split policy paragraph answers half a question.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dataset accuracy to 95% by enforcing uniqueness, not-null and range checks in PostgreSQL, so bad rows fail at the boundary instead of in a report.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Right-sized Kubernetes requests and limits to observed usage, which is where the 35% footprint reduction came from.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analysis prompts for usage trends, bill explanations, savings advice and account comparison on top of the raw data tools.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