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20" w:line="240" w:lineRule="auto"/>
        <w:jc w:val="center"/>
      </w:pPr>
      <w:r>
        <w:rPr>
          <w:rFonts w:ascii="Lato" w:hAnsi="Lato" w:cs="Lato"/>
          <w:sz w:val="30"/>
          <w:szCs w:val="30"/>
          <w:color w:val="111111"/>
        </w:rPr>
        <w:t xml:space="preserve">ARCHIT AGRAWAL</w:t>
      </w:r>
    </w:p>
    <w:p>
      <w:pPr>
        <w:spacing w:before="0" w:after="100" w:line="240" w:lineRule="auto"/>
        <w:jc w:val="center"/>
      </w:pPr>
      <w:r>
        <w:rPr>
          <w:rFonts w:ascii="Lato" w:hAnsi="Lato" w:cs="Lato"/>
          <w:sz w:val="18"/>
          <w:szCs w:val="18"/>
          <w:color w:val="111111"/>
        </w:rPr>
        <w:t xml:space="preserve">San Francisco Bay Area</w:t>
      </w:r>
      <w:r>
        <w:rPr>
          <w:rFonts w:ascii="Lato" w:hAnsi="Lato" w:cs="Lato"/>
          <w:sz w:val="18"/>
          <w:szCs w:val="18"/>
          <w:color w:val="111111"/>
        </w:rPr>
        <w:t xml:space="preserve">  |  </w:t>
      </w:r>
      <w:r>
        <w:rPr>
          <w:rFonts w:ascii="Lato" w:hAnsi="Lato" w:cs="Lato"/>
          <w:sz w:val="18"/>
          <w:szCs w:val="18"/>
          <w:color w:val="111111"/>
        </w:rPr>
        <w:t xml:space="preserve">623-312-0435</w:t>
      </w:r>
      <w:r>
        <w:rPr>
          <w:rFonts w:ascii="Lato" w:hAnsi="Lato" w:cs="Lato"/>
          <w:sz w:val="18"/>
          <w:szCs w:val="18"/>
          <w:color w:val="111111"/>
        </w:rPr>
        <w:t xml:space="preserve">  |  </w:t>
      </w:r>
      <w:r>
        <w:rPr>
          <w:rFonts w:ascii="Lato" w:hAnsi="Lato" w:cs="Lato"/>
          <w:sz w:val="18"/>
          <w:szCs w:val="18"/>
          <w:u w:val="single"/>
          <w:color w:val="111111"/>
        </w:rPr>
        <w:t xml:space="preserve">architagrawal000@gmail.com</w:t>
      </w:r>
      <w:r>
        <w:rPr>
          <w:rFonts w:ascii="Lato" w:hAnsi="Lato" w:cs="Lato"/>
          <w:sz w:val="18"/>
          <w:szCs w:val="18"/>
          <w:color w:val="111111"/>
        </w:rPr>
        <w:t xml:space="preserve">  |  </w:t>
      </w:r>
      <w:r>
        <w:rPr>
          <w:rFonts w:ascii="Lato" w:hAnsi="Lato" w:cs="Lato"/>
          <w:sz w:val="18"/>
          <w:szCs w:val="18"/>
          <w:u w:val="single"/>
          <w:color w:val="111111"/>
        </w:rPr>
        <w:t xml:space="preserve">LinkedIn</w:t>
      </w:r>
      <w:r>
        <w:rPr>
          <w:rFonts w:ascii="Lato" w:hAnsi="Lato" w:cs="Lato"/>
          <w:sz w:val="18"/>
          <w:szCs w:val="18"/>
          <w:color w:val="111111"/>
        </w:rPr>
        <w:t xml:space="preserve">  |  </w:t>
      </w:r>
      <w:r>
        <w:rPr>
          <w:rFonts w:ascii="Lato" w:hAnsi="Lato" w:cs="Lato"/>
          <w:sz w:val="18"/>
          <w:szCs w:val="18"/>
          <w:u w:val="single"/>
          <w:color w:val="111111"/>
        </w:rPr>
        <w:t xml:space="preserve">GitHub</w:t>
      </w:r>
      <w:r>
        <w:rPr>
          <w:rFonts w:ascii="Lato" w:hAnsi="Lato" w:cs="Lato"/>
          <w:sz w:val="18"/>
          <w:szCs w:val="18"/>
          <w:color w:val="111111"/>
        </w:rPr>
        <w:t xml:space="preserve">  |  </w:t>
      </w:r>
      <w:r>
        <w:rPr>
          <w:rFonts w:ascii="Lato" w:hAnsi="Lato" w:cs="Lato"/>
          <w:sz w:val="18"/>
          <w:szCs w:val="18"/>
          <w:u w:val="single"/>
          <w:color w:val="111111"/>
        </w:rPr>
        <w:t xml:space="preserve">Personal Website</w:t>
      </w:r>
    </w:p>
    <w:p>
      <w:pPr>
        <w:pBdr>
          <w:bottom w:val="single" w:sz="4" w:space="1" w:color="999999"/>
        </w:pBdr>
        <w:spacing w:before="140" w:after="40" w:line="240" w:lineRule="auto"/>
      </w:pPr>
      <w:r>
        <w:rPr>
          <w:rFonts w:ascii="Lato" w:hAnsi="Lato" w:cs="Lato"/>
          <w:sz w:val="20"/>
          <w:szCs w:val="20"/>
          <w:b/>
          <w:color w:val="111111"/>
        </w:rPr>
        <w:t xml:space="preserve">PROFESSIONAL EXPERIENCE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EdPlus</w:t>
      </w:r>
      <w:r>
        <w:tab/>
      </w:r>
      <w:r>
        <w:rPr>
          <w:rFonts w:ascii="Lato" w:hAnsi="Lato" w:cs="Lato"/>
          <w:sz w:val="19"/>
          <w:szCs w:val="19"/>
          <w:b/>
          <w:color w:val="111111"/>
        </w:rPr>
        <w:t xml:space="preserve">05/2026 - Present</w:t>
      </w:r>
    </w:p>
    <w:p>
      <w:pPr>
        <w:tabs>
          <w:tab w:val="right" w:pos="10520"/>
        </w:tabs>
        <w:spacing w:before="0" w:after="10" w:line="240" w:lineRule="auto"/>
      </w:pPr>
      <w:r>
        <w:rPr>
          <w:rFonts w:ascii="Lato" w:hAnsi="Lato" w:cs="Lato"/>
          <w:sz w:val="19"/>
          <w:szCs w:val="19"/>
          <w:i/>
          <w:color w:val="111111"/>
        </w:rPr>
        <w:t xml:space="preserve">AI Software Engineer</w:t>
      </w:r>
      <w:r>
        <w:tab/>
      </w:r>
      <w:r>
        <w:rPr>
          <w:rFonts w:ascii="Lato" w:hAnsi="Lato" w:cs="Lato"/>
          <w:sz w:val="19"/>
          <w:szCs w:val="19"/>
          <w:i/>
          <w:color w:val="111111"/>
        </w:rPr>
        <w:t xml:space="preserve">Phoenix, AZ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Own the architecture, roadmap and delivery of a 12-agent AI analytics platform on AWS Bedrock and Step Functions that turns any structured dataset into cited, verified answers; TypeScript, NestJS, Nuxt.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Cut wrong answers 85% on 164 published benchmark figures by reading every answer back in plain words and verifying it against the question before display.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Extended analysis to statistical and causal questions with 25 tests and six causal estimators validated against scipy and statsmodels, scoring 68% on StatQA versus GPT-4o's best reported 64.83%.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Quadrupled the insights automated reports surface, 13% to 52–59% on unseen datasets, by having an LLM agent choose the analyses while deterministic code computes every number.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Showed model choice moves accuracy 33x more than pipeline design across models costing $5–$89 per 100k rows, redirecting the team's recommendation from accuracy to reliability.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Benchmarked the platform against Claude Opus 5.5 working blind on public survey data, cutting wrong charts 93% with judge-free rule checks and an expert-calibrated LLM judge.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Raised accuracy on the hardest benchmark questions from 60% to 93% with zero wrong answers, by routing every component through one shared semantic layer after larger models did not help.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Reset the team's accuracy baseline after tracing a reported 0.637 F1 to a hand-reviewed spreadsheet; fresh runs reproduce 0.523.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Kept deterministic rules wherever an agent failed to beat them: no LLM chart proposal outscored the rule table, and two managed agent runtimes were removed after re-benchmarking.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Changed the evaluation from scoring charts to scoring the questions a survey asked, after healthy chart scores hid that only 19% were answered; coverage rose to 78%.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Lowered labeling spend by testing codebook fit on a 25-row sample first, separating a workable codebook (0.598 fit) from an unusable one (0.316) for about $0.001.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Designed a chart recommender over 17 chart types grounded in visualization research, accepting an LLM suggestion only when it outscores the rules.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Eliminated a silent failure mislabeling 1 in 8 rows in the prior pipeline, reaching 100% join integrity with schema-constrained LLM output.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Detected table shape with 98% accuracy and survey weights in 100% of files that ship one, up from 0%, so crosstabs, long tables and weighted surveys publish with no per-file code.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Scaled labeling as a distributed Step Functions fan-out across 64 parallel lanes with a 5% failure circuit breaker, after tracing silent row loss in a run that reported success.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Sped up a full AWS pipeline run 6x, 500 to 85 seconds, by replacing managed agent-runtime stages with direct tool calls once benchmarks showed each made one call and stopped.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Authored the target production architecture: 80 logged decisions and 200+ measured experiments, grounded in prior art including SSSOM, DDI, Metabase MBQL, Vega-Lite, Draco and LIDA.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MyStage Music Inc.</w:t>
      </w:r>
      <w:r>
        <w:tab/>
      </w:r>
      <w:r>
        <w:rPr>
          <w:rFonts w:ascii="Lato" w:hAnsi="Lato" w:cs="Lato"/>
          <w:sz w:val="19"/>
          <w:szCs w:val="19"/>
          <w:b/>
          <w:color w:val="111111"/>
        </w:rPr>
        <w:t xml:space="preserve">07/2025 - 06/2026</w:t>
      </w:r>
    </w:p>
    <w:p>
      <w:pPr>
        <w:tabs>
          <w:tab w:val="right" w:pos="10520"/>
        </w:tabs>
        <w:spacing w:before="0" w:after="10" w:line="240" w:lineRule="auto"/>
      </w:pPr>
      <w:r>
        <w:rPr>
          <w:rFonts w:ascii="Lato" w:hAnsi="Lato" w:cs="Lato"/>
          <w:sz w:val="19"/>
          <w:szCs w:val="19"/>
          <w:i/>
          <w:color w:val="111111"/>
        </w:rPr>
        <w:t xml:space="preserve">Founding AI/ML Engineer</w:t>
      </w:r>
      <w:r>
        <w:tab/>
      </w:r>
      <w:r>
        <w:rPr>
          <w:rFonts w:ascii="Lato" w:hAnsi="Lato" w:cs="Lato"/>
          <w:sz w:val="19"/>
          <w:szCs w:val="19"/>
          <w:i/>
          <w:color w:val="111111"/>
        </w:rPr>
        <w:t xml:space="preserve">Remote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Re-architected a 14-Cloud-Function backend into one checkpointed LangGraph agent in Python on GCP Cloud Run, cutting production service dependencies 64%.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Scaled ingestion to 70,000+ records a day from 650+ venues with a Playwright pipeline, transactional locking and Gemini entity resolution that raised search-dataset accuracy 25%.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Implemented pause-and-resume on LangGraph interrupts, so a record missing context waits at its checkpoint instead of failing the batch.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Designed a reusable scraping subgraph that parent graphs compose without checkpoint conflicts, letting webhook-triggered scrapes skip the fetch step.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Delivered sub-50 ms search on FastAPI and Algolia with real-time Firestore sync, 200+ pytest tests and Logfire tracing.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EdPlus</w:t>
      </w:r>
      <w:r>
        <w:tab/>
      </w:r>
      <w:r>
        <w:rPr>
          <w:rFonts w:ascii="Lato" w:hAnsi="Lato" w:cs="Lato"/>
          <w:sz w:val="19"/>
          <w:szCs w:val="19"/>
          <w:b/>
          <w:color w:val="111111"/>
        </w:rPr>
        <w:t xml:space="preserve">09/2023 - 05/2025</w:t>
      </w:r>
    </w:p>
    <w:p>
      <w:pPr>
        <w:tabs>
          <w:tab w:val="right" w:pos="10520"/>
        </w:tabs>
        <w:spacing w:before="0" w:after="10" w:line="240" w:lineRule="auto"/>
      </w:pPr>
      <w:r>
        <w:rPr>
          <w:rFonts w:ascii="Lato" w:hAnsi="Lato" w:cs="Lato"/>
          <w:sz w:val="19"/>
          <w:szCs w:val="19"/>
          <w:i/>
          <w:color w:val="111111"/>
        </w:rPr>
        <w:t xml:space="preserve">Software Engineer</w:t>
      </w:r>
      <w:r>
        <w:tab/>
      </w:r>
      <w:r>
        <w:rPr>
          <w:rFonts w:ascii="Lato" w:hAnsi="Lato" w:cs="Lato"/>
          <w:sz w:val="19"/>
          <w:szCs w:val="19"/>
          <w:i/>
          <w:color w:val="111111"/>
        </w:rPr>
        <w:t xml:space="preserve">Phoenix, AZ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Built a Prompt Flow eval harness scoring groundedness, relevance and coherence to gate every prompt change on results.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Led a multi-tenant RAG assistant, React to retrieval layer, used by 1,000+ faculty to build courses for 60,000+ students.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Added hybrid keyword and vector search so exact course codes resolve correctly where embeddings alone blur them together.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Compared fixed-size against section-aware chunking on real course documents before choosing, because a split policy paragraph answers half a question.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Cut transcript analysis 16x, four hours to 15 minutes, with a Neo4j knowledge graph queried by validated LLM-written Cypher.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Attached a source citation to every answer, linking document and section, so faculty can verify a claim instead of trusting it.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Arizona State University</w:t>
      </w:r>
      <w:r>
        <w:tab/>
      </w:r>
      <w:r>
        <w:rPr>
          <w:rFonts w:ascii="Lato" w:hAnsi="Lato" w:cs="Lato"/>
          <w:sz w:val="19"/>
          <w:szCs w:val="19"/>
          <w:b/>
          <w:color w:val="111111"/>
        </w:rPr>
        <w:t xml:space="preserve">08/2024 - 05/2025</w:t>
      </w:r>
    </w:p>
    <w:p>
      <w:pPr>
        <w:tabs>
          <w:tab w:val="right" w:pos="10520"/>
        </w:tabs>
        <w:spacing w:before="0" w:after="10" w:line="240" w:lineRule="auto"/>
      </w:pPr>
      <w:r>
        <w:rPr>
          <w:rFonts w:ascii="Lato" w:hAnsi="Lato" w:cs="Lato"/>
          <w:sz w:val="19"/>
          <w:szCs w:val="19"/>
          <w:i/>
          <w:color w:val="111111"/>
        </w:rPr>
        <w:t xml:space="preserve">Student Researcher</w:t>
      </w:r>
      <w:r>
        <w:tab/>
      </w:r>
      <w:r>
        <w:rPr>
          <w:rFonts w:ascii="Lato" w:hAnsi="Lato" w:cs="Lato"/>
          <w:sz w:val="19"/>
          <w:szCs w:val="19"/>
          <w:i/>
          <w:color w:val="111111"/>
        </w:rPr>
        <w:t xml:space="preserve">Phoenix, AZ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Built a PyTorch and Diffusers benchmark for text-to-video models that scores physical plausibility separately from visual quality, holding seed, resolution and sampler fixed.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Found visual quality barely predicts physical plausibility: the top model by human preference ranked last on causal consistency.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Designed a frame-level rubric for rigid-body motion, gravity, momentum and occlusion, and measured inter-rater agreement before trusting any aggregate score.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Derived a failure taxonomy from annotated clips: broken object permanence, non-conserved mass, teleporting contact and physics that resets at a scene cut.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Knowledge Exchange for Resilience, Arizona State University</w:t>
      </w:r>
      <w:r>
        <w:tab/>
      </w:r>
      <w:r>
        <w:rPr>
          <w:rFonts w:ascii="Lato" w:hAnsi="Lato" w:cs="Lato"/>
          <w:sz w:val="19"/>
          <w:szCs w:val="19"/>
          <w:b/>
          <w:color w:val="111111"/>
        </w:rPr>
        <w:t xml:space="preserve">06/2024 - 08/2024</w:t>
      </w:r>
    </w:p>
    <w:p>
      <w:pPr>
        <w:tabs>
          <w:tab w:val="right" w:pos="10520"/>
        </w:tabs>
        <w:spacing w:before="0" w:after="10" w:line="240" w:lineRule="auto"/>
      </w:pPr>
      <w:r>
        <w:rPr>
          <w:rFonts w:ascii="Lato" w:hAnsi="Lato" w:cs="Lato"/>
          <w:sz w:val="19"/>
          <w:szCs w:val="19"/>
          <w:i/>
          <w:color w:val="111111"/>
        </w:rPr>
        <w:t xml:space="preserve">Data Research Aide</w:t>
      </w:r>
      <w:r>
        <w:tab/>
      </w:r>
      <w:r>
        <w:rPr>
          <w:rFonts w:ascii="Lato" w:hAnsi="Lato" w:cs="Lato"/>
          <w:sz w:val="19"/>
          <w:szCs w:val="19"/>
          <w:i/>
          <w:color w:val="111111"/>
        </w:rPr>
        <w:t xml:space="preserve">Phoenix, AZ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Cut p95 retrieval latency 60% at 95% recall with a hybrid FAISS and Neo4j search layer.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Built a FastAPI and pgvector recommender reaching 85% top-k precision for collaborator matching, fed by an ETL ingesting 10,000+ profiles a day, plus 20+ REST APIs on .NET 8.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Lowered API latency 90% with Redis caching and SQL rewrites, and raised dataset accuracy to 95% with PostgreSQL constraints.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Zeus Learning</w:t>
      </w:r>
      <w:r>
        <w:tab/>
      </w:r>
      <w:r>
        <w:rPr>
          <w:rFonts w:ascii="Lato" w:hAnsi="Lato" w:cs="Lato"/>
          <w:sz w:val="19"/>
          <w:szCs w:val="19"/>
          <w:b/>
          <w:color w:val="111111"/>
        </w:rPr>
        <w:t xml:space="preserve">01/2022 - 07/2023</w:t>
      </w:r>
    </w:p>
    <w:p>
      <w:pPr>
        <w:tabs>
          <w:tab w:val="right" w:pos="10520"/>
        </w:tabs>
        <w:spacing w:before="0" w:after="10" w:line="240" w:lineRule="auto"/>
      </w:pPr>
      <w:r>
        <w:rPr>
          <w:rFonts w:ascii="Lato" w:hAnsi="Lato" w:cs="Lato"/>
          <w:sz w:val="19"/>
          <w:szCs w:val="19"/>
          <w:i/>
          <w:color w:val="111111"/>
        </w:rPr>
        <w:t xml:space="preserve">Software Engineer</w:t>
      </w:r>
      <w:r>
        <w:tab/>
      </w:r>
      <w:r>
        <w:rPr>
          <w:rFonts w:ascii="Lato" w:hAnsi="Lato" w:cs="Lato"/>
          <w:sz w:val="19"/>
          <w:szCs w:val="19"/>
          <w:i/>
          <w:color w:val="111111"/>
        </w:rPr>
        <w:t xml:space="preserve">Mumbai, India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Built a Redis-backed desk-demand forecasting service used in 300+ Fortune 500 offices, with reported occupancy up 30%.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DA-IICT</w:t>
      </w:r>
      <w:r>
        <w:tab/>
      </w:r>
      <w:r>
        <w:rPr>
          <w:rFonts w:ascii="Lato" w:hAnsi="Lato" w:cs="Lato"/>
          <w:sz w:val="19"/>
          <w:szCs w:val="19"/>
          <w:b/>
          <w:color w:val="111111"/>
        </w:rPr>
        <w:t xml:space="preserve">05/2021 - 08/2021</w:t>
      </w:r>
    </w:p>
    <w:p>
      <w:pPr>
        <w:tabs>
          <w:tab w:val="right" w:pos="10520"/>
        </w:tabs>
        <w:spacing w:before="0" w:after="10" w:line="240" w:lineRule="auto"/>
      </w:pPr>
      <w:r>
        <w:rPr>
          <w:rFonts w:ascii="Lato" w:hAnsi="Lato" w:cs="Lato"/>
          <w:sz w:val="19"/>
          <w:szCs w:val="19"/>
          <w:i/>
          <w:color w:val="111111"/>
        </w:rPr>
        <w:t xml:space="preserve">Computer Vision Researcher</w:t>
      </w:r>
      <w:r>
        <w:tab/>
      </w:r>
      <w:r>
        <w:rPr>
          <w:rFonts w:ascii="Lato" w:hAnsi="Lato" w:cs="Lato"/>
          <w:sz w:val="19"/>
          <w:szCs w:val="19"/>
          <w:i/>
          <w:color w:val="111111"/>
        </w:rPr>
        <w:t xml:space="preserve">Gandhinagar, India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Engineered an autonomous-driving perception stack in Python: radar and lidar capture, timestamp alignment, extrinsic calibration and point-cloud processing, with a replay harness over recorded drives.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Compared early and late sensor fusion on identical sequences, showing point-level merging keeps detail but inherits both sensors' noise while object-level merging is robust but discards evidence.</w:t>
      </w:r>
    </w:p>
    <w:p>
      <w:pPr>
        <w:pBdr>
          <w:bottom w:val="single" w:sz="4" w:space="1" w:color="999999"/>
        </w:pBdr>
        <w:spacing w:before="140" w:after="40" w:line="240" w:lineRule="auto"/>
      </w:pPr>
      <w:r>
        <w:rPr>
          <w:rFonts w:ascii="Lato" w:hAnsi="Lato" w:cs="Lato"/>
          <w:sz w:val="20"/>
          <w:szCs w:val="20"/>
          <w:b/>
          <w:color w:val="111111"/>
        </w:rPr>
        <w:t xml:space="preserve">PROJECTS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AiJockey – AI DJ Pipeline</w:t>
      </w:r>
      <w:r>
        <w:tab/>
      </w:r>
      <w:r>
        <w:rPr>
          <w:rFonts w:ascii="Lato" w:hAnsi="Lato" w:cs="Lato"/>
          <w:sz w:val="19"/>
          <w:szCs w:val="19"/>
          <w:b/>
          <w:color w:val="111111"/>
        </w:rPr>
        <w:t xml:space="preserve">2025 - Present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Built an end-to-end AI DJ in PyTorch and FastAPI: stem separation, an LLM transition planner, 25+ DSP transitions and LUFS mastering, ported off CUDA to an AMD MI300X.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Trained a MERT-95M reward head predicting four-axis audio aesthetics (final MSE 0.127) so the segment picker scores candidates without running full inference per render.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Built DPO/KTO/IPO trainer variants for preference tuning, cutting DPO loss 31% (0.68 to 0.47) on labeled preference pairs.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SRP Electric MCP Server</w:t>
      </w:r>
      <w:r>
        <w:tab/>
      </w:r>
      <w:r>
        <w:rPr>
          <w:rFonts w:ascii="Lato" w:hAnsi="Lato" w:cs="Lato"/>
          <w:sz w:val="19"/>
          <w:szCs w:val="19"/>
          <w:b/>
          <w:color w:val="111111"/>
        </w:rPr>
        <w:t xml:space="preserve">12/2025 - 01/2026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Built a Python MCP server on FastMCP that logs into an undocumented utility portal and gives AI agents 7 tools and 4 analysis prompts for billing, usage, payments and outages, with a one-click setup wizard.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Reverse-engineered the portal's login flow and API calls, since the utility publishes no API documentation.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MCP GitHub PR Review Agent</w:t>
      </w:r>
      <w:r>
        <w:tab/>
      </w:r>
      <w:r>
        <w:rPr>
          <w:rFonts w:ascii="Lato" w:hAnsi="Lato" w:cs="Lato"/>
          <w:sz w:val="19"/>
          <w:szCs w:val="19"/>
          <w:b/>
          <w:color w:val="111111"/>
        </w:rPr>
        <w:t xml:space="preserve">07/2025 - 08/2025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Built a TypeScript MCP service that reviews pull requests from the diff, linked ticket and CI result, returning schema-typed inline findings that gate merges by category.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color w:val="111111"/>
        </w:rPr>
        <w:t xml:space="preserve">Reviews large PRs file by file with a per-file verdict, because one 8,000-line diff in a single prompt produces a summary, not a review.</w:t>
      </w:r>
    </w:p>
    <w:p>
      <w:pPr>
        <w:pBdr>
          <w:bottom w:val="single" w:sz="4" w:space="1" w:color="999999"/>
        </w:pBdr>
        <w:spacing w:before="140" w:after="40" w:line="240" w:lineRule="auto"/>
      </w:pPr>
      <w:r>
        <w:rPr>
          <w:rFonts w:ascii="Lato" w:hAnsi="Lato" w:cs="Lato"/>
          <w:sz w:val="20"/>
          <w:szCs w:val="20"/>
          <w:b/>
          <w:color w:val="111111"/>
        </w:rPr>
        <w:t xml:space="preserve">TECHNICAL SKILLS</w:t>
      </w:r>
    </w:p>
    <w:p>
      <w:pPr>
        <w:spacing w:before="0" w:after="1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Languages: </w:t>
      </w:r>
      <w:r>
        <w:rPr>
          <w:rFonts w:ascii="Lato" w:hAnsi="Lato" w:cs="Lato"/>
          <w:sz w:val="19"/>
          <w:szCs w:val="19"/>
          <w:color w:val="111111"/>
        </w:rPr>
        <w:t xml:space="preserve">Python, TypeScript, JavaScript, SQL, C#</w:t>
      </w:r>
    </w:p>
    <w:p>
      <w:pPr>
        <w:spacing w:before="0" w:after="1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Frameworks: </w:t>
      </w:r>
      <w:r>
        <w:rPr>
          <w:rFonts w:ascii="Lato" w:hAnsi="Lato" w:cs="Lato"/>
          <w:sz w:val="19"/>
          <w:szCs w:val="19"/>
          <w:color w:val="111111"/>
        </w:rPr>
        <w:t xml:space="preserve">FastAPI, NestJS, Node.js, .NET, React, Vue/Nuxt, Next.js, LangGraph, PyTorch</w:t>
      </w:r>
    </w:p>
    <w:p>
      <w:pPr>
        <w:spacing w:before="0" w:after="1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AI &amp; Data: </w:t>
      </w:r>
      <w:r>
        <w:rPr>
          <w:rFonts w:ascii="Lato" w:hAnsi="Lato" w:cs="Lato"/>
          <w:sz w:val="19"/>
          <w:szCs w:val="19"/>
          <w:color w:val="111111"/>
        </w:rPr>
        <w:t xml:space="preserve">RAG, LLM evaluation, MCP, AWS Bedrock, PostgreSQL, pgvector, FAISS, Neo4j, Redis, DuckDB, ETL pipelines</w:t>
      </w:r>
    </w:p>
    <w:p>
      <w:pPr>
        <w:spacing w:before="0" w:after="1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Cloud &amp; DevOps: </w:t>
      </w:r>
      <w:r>
        <w:rPr>
          <w:rFonts w:ascii="Lato" w:hAnsi="Lato" w:cs="Lato"/>
          <w:sz w:val="19"/>
          <w:szCs w:val="19"/>
          <w:color w:val="111111"/>
        </w:rPr>
        <w:t xml:space="preserve">AWS (Step Functions, Lambda, S3, CDK), GCP Cloud Run, Docker, Kubernetes, CI/CD</w:t>
      </w:r>
    </w:p>
    <w:p>
      <w:pPr>
        <w:pBdr>
          <w:bottom w:val="single" w:sz="4" w:space="1" w:color="999999"/>
        </w:pBdr>
        <w:spacing w:before="140" w:after="40" w:line="240" w:lineRule="auto"/>
      </w:pPr>
      <w:r>
        <w:rPr>
          <w:rFonts w:ascii="Lato" w:hAnsi="Lato" w:cs="Lato"/>
          <w:sz w:val="20"/>
          <w:szCs w:val="20"/>
          <w:b/>
          <w:color w:val="111111"/>
        </w:rPr>
        <w:t xml:space="preserve">EDUCATION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Arizona State University (ASU)</w:t>
      </w:r>
      <w:r>
        <w:tab/>
      </w:r>
      <w:r>
        <w:rPr>
          <w:rFonts w:ascii="Lato" w:hAnsi="Lato" w:cs="Lato"/>
          <w:sz w:val="19"/>
          <w:szCs w:val="19"/>
          <w:b/>
          <w:color w:val="111111"/>
        </w:rPr>
        <w:t xml:space="preserve">08/2023 - 05/2025</w:t>
      </w:r>
    </w:p>
    <w:p>
      <w:pPr>
        <w:tabs>
          <w:tab w:val="right" w:pos="10520"/>
        </w:tabs>
        <w:spacing w:before="0" w:after="10" w:line="240" w:lineRule="auto"/>
      </w:pPr>
      <w:r>
        <w:rPr>
          <w:rFonts w:ascii="Lato" w:hAnsi="Lato" w:cs="Lato"/>
          <w:sz w:val="19"/>
          <w:szCs w:val="19"/>
          <w:i/>
          <w:color w:val="111111"/>
        </w:rPr>
        <w:t xml:space="preserve">Master of Science, Computer Science</w:t>
      </w:r>
      <w:r>
        <w:tab/>
      </w:r>
      <w:r>
        <w:rPr>
          <w:rFonts w:ascii="Lato" w:hAnsi="Lato" w:cs="Lato"/>
          <w:sz w:val="19"/>
          <w:szCs w:val="19"/>
          <w:i/>
          <w:color w:val="111111"/>
        </w:rPr>
        <w:t xml:space="preserve">Tempe, AZ, USA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19"/>
          <w:szCs w:val="19"/>
          <w:color w:val="111111"/>
        </w:rPr>
        <w:t xml:space="preserve">•</w:t>
      </w:r>
      <w:r>
        <w:rPr>
          <w:rFonts w:ascii="Lato" w:hAnsi="Lato" w:cs="Lato"/>
          <w:sz w:val="19"/>
          <w:szCs w:val="19"/>
          <w:color w:val="111111"/>
        </w:rPr>
        <w:t xml:space="preserve">  </w:t>
      </w:r>
      <w:r>
        <w:rPr>
          <w:rFonts w:ascii="Lato" w:hAnsi="Lato" w:cs="Lato"/>
          <w:sz w:val="19"/>
          <w:szCs w:val="19"/>
          <w:b/>
          <w:color w:val="111111"/>
        </w:rPr>
        <w:t xml:space="preserve">GPA:</w:t>
      </w:r>
      <w:r>
        <w:rPr>
          <w:rFonts w:ascii="Lato" w:hAnsi="Lato" w:cs="Lato"/>
          <w:sz w:val="19"/>
          <w:szCs w:val="19"/>
          <w:color w:val="111111"/>
        </w:rPr>
        <w:t xml:space="preserve"> 4.0</w:t>
      </w:r>
    </w:p>
    <w:p>
      <w:pPr>
        <w:tabs>
          <w:tab w:val="right" w:pos="10520"/>
        </w:tabs>
        <w:spacing w:before="80" w:after="0" w:line="240" w:lineRule="auto"/>
      </w:pPr>
      <w:r>
        <w:rPr>
          <w:rFonts w:ascii="Lato" w:hAnsi="Lato" w:cs="Lato"/>
          <w:sz w:val="19"/>
          <w:szCs w:val="19"/>
          <w:b/>
          <w:color w:val="111111"/>
        </w:rPr>
        <w:t xml:space="preserve">Dhirubhai Ambani Institute of Information and Communication Technology</w:t>
      </w:r>
      <w:r>
        <w:tab/>
      </w:r>
      <w:r>
        <w:rPr>
          <w:rFonts w:ascii="Lato" w:hAnsi="Lato" w:cs="Lato"/>
          <w:sz w:val="19"/>
          <w:szCs w:val="19"/>
          <w:b/>
          <w:color w:val="111111"/>
        </w:rPr>
        <w:t xml:space="preserve">08/2018 - 05/2022</w:t>
      </w:r>
    </w:p>
    <w:p>
      <w:pPr>
        <w:tabs>
          <w:tab w:val="right" w:pos="10520"/>
        </w:tabs>
        <w:spacing w:before="0" w:after="10" w:line="240" w:lineRule="auto"/>
      </w:pPr>
      <w:r>
        <w:rPr>
          <w:rFonts w:ascii="Lato" w:hAnsi="Lato" w:cs="Lato"/>
          <w:sz w:val="19"/>
          <w:szCs w:val="19"/>
          <w:i/>
          <w:color w:val="111111"/>
        </w:rPr>
        <w:t xml:space="preserve">Bachelor of Technology, Information and Communication Technology</w:t>
      </w:r>
      <w:r>
        <w:tab/>
      </w:r>
      <w:r>
        <w:rPr>
          <w:rFonts w:ascii="Lato" w:hAnsi="Lato" w:cs="Lato"/>
          <w:sz w:val="19"/>
          <w:szCs w:val="19"/>
          <w:i/>
          <w:color w:val="111111"/>
        </w:rPr>
        <w:t xml:space="preserve">India</w:t>
      </w:r>
    </w:p>
    <w:sectPr>
      <w:pgSz w:w="12240" w:h="15840"/>
      <w:pgMar w:top="605" w:right="864" w:bottom="605" w:left="864" w:header="0" w:footer="0" w:gutter="0"/>
    </w:sectPr>
  </w:body>
</w:document>
</file>