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07/2025 - 08/2025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review comments idempotent across pushes and synchronized ticket context with Asana.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LLM: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Prompt Flow, MCP, PyTorch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Data: </w:t>
      </w:r>
      <w:r>
        <w:rPr>
          <w:rFonts w:ascii="Lato" w:hAnsi="Lato" w:cs="Lato"/>
          <w:sz w:val="21"/>
          <w:szCs w:val="21"/>
          <w:color w:val="111111"/>
        </w:rPr>
        <w:t xml:space="preserve">PostgreSQL, pgvector, FAISS, Neo4j, Redis, Algolia, Firestore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Web: </w:t>
      </w:r>
      <w:r>
        <w:rPr>
          <w:rFonts w:ascii="Lato" w:hAnsi="Lato" w:cs="Lato"/>
          <w:sz w:val="21"/>
          <w:szCs w:val="21"/>
          <w:color w:val="111111"/>
        </w:rPr>
        <w:t xml:space="preserve">FastAPI, NestJS, Node.js, .NET, React, Nuxt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(Step Functions, Lambda, S3, CDK), GCP Cloud Run,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