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Showed model choice moves labeling F1 33x more than pipeline design (0.230 vs 0.007), redirecting the team toward reliability.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chart recommender covering 17 chart types, retaining deterministic rules when LLM proposals failed to improve evaluation scores.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05/2021 - 08/2021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DPO, KTO and IPO preference-training variants; reduced DPO training loss from 0.68 to 0.47 on labeled pairs.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Models: </w:t>
      </w:r>
      <w:r>
        <w:rPr>
          <w:rFonts w:ascii="Lato" w:hAnsi="Lato" w:cs="Lato"/>
          <w:sz w:val="21"/>
          <w:szCs w:val="21"/>
          <w:color w:val="111111"/>
        </w:rPr>
        <w:t xml:space="preserve">Python, SQL, PyTorch, Diffusers, NumPy, SciPy, statsmodels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Evaluation: </w:t>
      </w:r>
      <w:r>
        <w:rPr>
          <w:rFonts w:ascii="Lato" w:hAnsi="Lato" w:cs="Lato"/>
          <w:sz w:val="21"/>
          <w:szCs w:val="21"/>
          <w:color w:val="111111"/>
        </w:rPr>
        <w:t xml:space="preserve">FAISS, pgvector, Neo4j, RAG, LLM evaluation, LangGraph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Serving &amp; Cloud: </w:t>
      </w:r>
      <w:r>
        <w:rPr>
          <w:rFonts w:ascii="Lato" w:hAnsi="Lato" w:cs="Lato"/>
          <w:sz w:val="21"/>
          <w:szCs w:val="21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