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Phoenix, AZ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the storage layer: kilobyte fact tables beside Lance payloads on S3 queried in-process by DuckDB, choosing Lance over Parquet on 114,000 rows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Detected table shape with 98% accuracy and survey weights in 100% of files that ship one, up from 0%, so crosstabs, long tables and weighted surveys publish with no per-file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Accelerated publishing of a 51,280-person, 220-column federal survey 10x, 19 minutes to 109 seconds, with an independent audit from raw data matching 100% of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Unlocked a time axis on roughly 70% of real exports that hid timestamps inside identifiers, through a five-stage intake that also survives UTF-16 and duplicate-header files.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Blocked a cross-survey join that double counted respondents, using a fingerprint that detects runs sharing the same people.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labeling spend by testing codebook fit on a 25-row sample first, separating a workable codebook (0.598 fit) from an unusable one (0.316) for about $0.001.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governance in the POC: Bedrock Guardrails as their own CDK stack, entitlement-gated respondent retrieval, and per-stage spend caps enforced in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Authored the target production architecture: 80 logged decisions and 200+ measured experiments, grounded in prior art including SSSOM, DDI, Metabase MBQL, Vega-Lite, Draco and LIDA.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Reset the team's accuracy baseline after tracing a reported 0.637 F1 to a hand-reviewed spreadsheet; fresh runs reproduce 0.523.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reusable scraping subgraph that parent graphs compose without checkpoint conflicts, letting webhook-triggered scrapes skip the fetch step.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Implemented pause-and-resume on LangGraph interrupts, so a record missing context waits at its checkpoint instead of failing the batch.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fixed-size against section-aware chunking on real course documents before choosing, because a split policy paragraph answers half a question.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Rewrote the ETL to be idempotent on a natural key, so a rerun after partial failure updates rows rather than duplicating them.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dataset accuracy to 95% by enforcing uniqueness, not-null and range checks in PostgreSQL, so bad rows fail at the boundary instead of in a report.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Migrated a C# .NET monolith to Dockerized Kubernetes microservices, reducing infrastructure cost 20% and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the student-listing screen 30% with paginated fetching and S3 asset delivery, then another 10% with index-covering query rewrites after profiling found a full table scan.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Right-sized Kubernetes requests and limits to observed usage, which is where the 35% footprint reduction came from.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09/2021 - 12/2021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05/2021 - 08/2021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Reverse-engineered an undocumented utility portal into a read-only TypeScript MCP server with Zod-validated tool schemas, normalized meter data and typed errors an agent can act 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Rate-limited and cached server-side, because a portal built for humans clicking does not expect an agent asking for a year of 15-minute intervals in a loop.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