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8"/>
          <w:szCs w:val="18"/>
          <w:color w:val="111111"/>
        </w:rPr>
        <w:t xml:space="preserve">Phoenix, AZ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color w:val="111111"/>
        </w:rPr>
        <w:t xml:space="preserve">623-312-0435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LinkedIn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GitHub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plain-English chart experience in Nuxt where readers stack, sort, filter, take top-N and undo directly, backed by in-process DuckDB that held latency flat as rows grew 200x.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Shipped a 14-page Nuxt 4 front end over a NestJS API of 11 modules and 70 routes, all compiled against one shared TypeScript contract.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Sped up a full AWS pipeline run 6x, 500 to 85 seconds, by replacing managed agent-runtime stages with direct tool calls once benchmarks showed each made one call and stopped.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Delivered governance in the POC: Bedrock Guardrails as their own CDK stack, entitlement-gated respondent retrieval, and per-stage spend caps enforced in code.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labeling as a distributed Step Functions fan-out across 64 parallel lanes with a 5% failure circuit breaker, after tracing silent row loss in a run that reported success.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Eliminated a silent failure mislabeling 1 in 8 rows in the prior pipeline, reaching 100% join integrity with schema-constrained LLM output.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Extended analysis to statistical and causal questions with 25 tests and six causal estimators validated against scipy and statsmodels, scoring 68% on StatQA versus GPT-4o's best reported 64.83%.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chart recommender over 17 chart types grounded in visualization research, accepting an LLM suggestion only when it outscores the rules.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Engineered the storage layer: kilobyte fact tables beside Lance payloads on S3 queried in-process by DuckDB, choosing Lance over Parquet on 114,000 rows for full-text and vector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Accelerated publishing of a 51,280-person, 220-column federal survey 10x, 19 minutes to 109 seconds, with an independent audit from raw data matching 100% of figures.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Raised accuracy on the hardest benchmark questions from 60% to 93% with zero wrong answers, by routing every component through one shared semantic layer after larger models did not help.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Blocked a cross-survey join that double counted respondents, using a fingerprint that detects runs sharing the same people.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07/2025 - 05/2026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Delivered sub-50 ms search on FastAPI and Algolia with real-time Firestore sync, 200+ pytest tests and Logfire tracing.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Guaranteed retry safety with deterministic task IDs and create-if-absent writes, so a retried job can never overwrite one already in flight.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reusable scraping subgraph that parent graphs compose without checkpoint conflicts, letting webhook-triggered scrapes skip the fetch step.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Raised engagement 35% and reduced bounce 20% with React and Material UI tools for the assessment platform: bulk import, cross-bank question reuse and a diff view before republishing.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Isolated each college's data at the retrieval layer, so no tenant's material can surface in another's and onboarding became a config change, not a deployment.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Attached a source citation to every answer, linking document and section, so faculty can verify a claim instead of trusting it.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Added hybrid keyword and vector search so exact course codes resolve correctly where embeddings alone blur them together.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Prompt Flow eval harness scoring groundedness, relevance and coherence to gate every prompt change on results.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Lowered API latency 90% with Redis caching and SQL rewrites, and raised dataset accuracy to 95% with PostgreSQL constraints.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p95 retrieval latency 60% at 95% recall with a hybrid FAISS and Neo4j search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Rewrote the ETL to be idempotent on a natural key, so a rerun after partial failure updates rows rather than duplicating them.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Redis-backed desk-demand forecasting service used in 300+ Fortune 500 offices, with reported occupancy up 30%.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deploy time 70% and production incidents 40% by containerizing the CI/CD release pipeline and adding SonarQube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Migrated a C# .NET monolith to Dockerized Kubernetes microservices, reducing infrastructure cost 20% and footprint 35%.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Sped up the student-listing screen 30% with paginated fetching and S3 asset delivery, then another 10% with index-covering query rewrites after profiling found a full table scan.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Published an internal npm package wrapping the Slack Web API with pagination, released under semver for the company social platform.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Right-sized Kubernetes requests and limits to observed usage, which is where the 35% footprint reduction came from.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09/2021 - 12/2021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Bengaluru,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Shipped live order tracking on the Google Maps API with route polylines and a per-fix ETA, during a quarter of 25% user growth.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polling fallback for when the socket drops, so customers never lose order updates.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Reverse-engineered an undocumented utility portal into a read-only TypeScript MCP server with Zod-validated tool schemas, normalized meter data and typed errors an agent can act 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Kept every tool read-only, so an agent exploring an undocumented portal cannot change a billing setting.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MCP GitHub PR Review Agent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07/2025 - 08/2025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TypeScript MCP service that reviews pull requests from the diff, linked ticket and CI result, returning schema-typed inline findings that gate merges by category.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Made the bot idempotent across pushes after the first version stacked eleven comments on one branch, and wired Asana both ways off the branch-name ticket id.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Languages: </w:t>
      </w:r>
      <w:r>
        <w:rPr>
          <w:rFonts w:ascii="Lato" w:hAnsi="Lato" w:cs="Lato"/>
          <w:sz w:val="19"/>
          <w:szCs w:val="19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Frameworks: </w:t>
      </w:r>
      <w:r>
        <w:rPr>
          <w:rFonts w:ascii="Lato" w:hAnsi="Lato" w:cs="Lato"/>
          <w:sz w:val="19"/>
          <w:szCs w:val="19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 &amp; Data: </w:t>
      </w:r>
      <w:r>
        <w:rPr>
          <w:rFonts w:ascii="Lato" w:hAnsi="Lato" w:cs="Lato"/>
          <w:sz w:val="19"/>
          <w:szCs w:val="19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Cloud &amp; DevOps: </w:t>
      </w:r>
      <w:r>
        <w:rPr>
          <w:rFonts w:ascii="Lato" w:hAnsi="Lato" w:cs="Lato"/>
          <w:sz w:val="19"/>
          <w:szCs w:val="19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b/>
          <w:color w:val="111111"/>
        </w:rPr>
        <w:t xml:space="preserve">GPA:</w:t>
      </w:r>
      <w:r>
        <w:rPr>
          <w:rFonts w:ascii="Lato" w:hAnsi="Lato" w:cs="Lato"/>
          <w:sz w:val="19"/>
          <w:szCs w:val="19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