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publishing time from 19 minutes to 109 seconds for a 51,280-respondent survey; an independent raw-data audit matched all evaluated figures.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Storage: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PostgreSQL, DuckDB, S3, Lance,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Pipelines: </w:t>
      </w:r>
      <w:r>
        <w:rPr>
          <w:rFonts w:ascii="Lato" w:hAnsi="Lato" w:cs="Lato"/>
          <w:sz w:val="21"/>
          <w:szCs w:val="21"/>
          <w:color w:val="111111"/>
        </w:rPr>
        <w:t xml:space="preserve">ETL, Step Functions, Lambda, GCP Cloud Run, FastAPI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Quality &amp; Deployment: </w:t>
      </w:r>
      <w:r>
        <w:rPr>
          <w:rFonts w:ascii="Lato" w:hAnsi="Lato" w:cs="Lato"/>
          <w:sz w:val="21"/>
          <w:szCs w:val="21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