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for any structured dataset on AWS Bedrock and Step Functions, with cited answers and deterministic calculations.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achieved 68% on StatQA test selection.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recovery of reference headline findings from 13% to 52–59% on held-out datasets using LLM-selected analyses and deterministic calculations.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Prevented mislabeled and dropped records with schema-constrained output and row correlation checks in the data-processing pipeline.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FastAPI and pgvector collaborator recommender achieving 85% top-k precision in evaluation.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12/2025 - 01/2026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Reverse-engineered the portal's login flow and API calls, since the utility publishes no API documentation.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07/2025 - 08/2025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TypeScript PR-review integration combining code diffs, tickets and CI results into schema-validated inline findings.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review comments idempotent across pushes and synchronized ticket context with Asana.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APIs: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SQL, FastAPI, NestJS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&amp; Data: </w:t>
      </w:r>
      <w:r>
        <w:rPr>
          <w:rFonts w:ascii="Lato" w:hAnsi="Lato" w:cs="Lato"/>
          <w:sz w:val="21"/>
          <w:szCs w:val="21"/>
          <w:color w:val="111111"/>
        </w:rPr>
        <w:t xml:space="preserve">LangGraph, RAG, LLM evaluation, MCP, PostgreSQL, pgvector, Neo4j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 Bedrock, Step Functions, GCP Cloud Run,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