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" w:line="240" w:lineRule="auto"/>
        <w:jc w:val="center"/>
      </w:pPr>
      <w:r>
        <w:rPr>
          <w:rFonts w:ascii="Lato" w:hAnsi="Lato" w:cs="Lato"/>
          <w:sz w:val="36"/>
          <w:szCs w:val="36"/>
          <w:color w:val="111111"/>
        </w:rPr>
        <w:t xml:space="preserve">ARCHIT AGRAWAL</w:t>
      </w:r>
    </w:p>
    <w:p>
      <w:pPr>
        <w:spacing w:before="0" w:after="100" w:line="240" w:lineRule="auto"/>
        <w:jc w:val="center"/>
      </w:pPr>
      <w:r>
        <w:rPr>
          <w:rFonts w:ascii="Lato" w:hAnsi="Lato" w:cs="Lato"/>
          <w:sz w:val="19"/>
          <w:szCs w:val="19"/>
          <w:color w:val="111111"/>
        </w:rPr>
        <w:t xml:space="preserve">San Francisco Bay Area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color w:val="111111"/>
        </w:rPr>
        <w:t xml:space="preserve">623-312-0435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architagrawal000@gmail.com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LinkedIn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GitHub</w:t>
      </w:r>
      <w:r>
        <w:rPr>
          <w:rFonts w:ascii="Lato" w:hAnsi="Lato" w:cs="Lato"/>
          <w:sz w:val="19"/>
          <w:szCs w:val="19"/>
          <w:color w:val="111111"/>
        </w:rPr>
        <w:t xml:space="preserve">  |  </w:t>
      </w:r>
      <w:r>
        <w:rPr>
          <w:rFonts w:ascii="Lato" w:hAnsi="Lato" w:cs="Lato"/>
          <w:sz w:val="19"/>
          <w:szCs w:val="19"/>
          <w:u w:val="single"/>
          <w:color w:val="111111"/>
        </w:rPr>
        <w:t xml:space="preserve">Portfolio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PROFESSIONAL EXPERIENCE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06/2026 - Present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AI 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Own architecture and delivery of an AI analytics platform for any structured dataset on AWS Bedrock and Step Functions, with cited answers and deterministic calculations.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Validated 25 statistical tests and six causal estimators against SciPy and statsmodels; achieved 68% on StatQA test selection.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Improved accuracy from 60% to 93% on the hardest benchmark questions by consolidating column definitions in a shared semantic layer.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Cut incorrect answers 85% in an evaluation against 164 published benchmark figures by adding answer verification before display.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Increased recovery of reference headline findings from 13% to 52–59% on held-out datasets using LLM-selected analyses and deterministic calculations.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Measured labeling F1 changes of 0.230 across models versus 0.007 across pipeline designs, prioritizing reliability improvements over orchestration complexity.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a chart recommender covering 17 chart types, retaining deterministic rules when LLM proposals failed to improve evaluation scores.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MyStage Music Inc.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07/2025 - 06/2026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Founding AI/ML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Remote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Consolidated a 14-Cloud-Function backend into a checkpointed Python/LangGraph workflow on GCP Cloud Run, reducing production service dependencies 64%.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FastAPI and Algolia search with sub-50 ms latency, real-time Firestore synchronization, 200+ pytest tests and Logfire tracing.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Scaled ingestion to 70,000+ records daily from 650+ venues using Playwright, transactional locking and entity resolution.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Implemented checkpointed pause-and-resume so records missing context wait for additional information without failing the ingestion batch.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EdPlus,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09/2023 - 05/2025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Established Prompt Flow release checks for groundedness, relevance and coherence, evaluating prompt changes against measured results before deployment.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Added hybrid keyword and vector retrieval to resolve exact course codes alongside semantic document search.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multi-tenant course assistant from React UI to retrieval services, used by 1,000+ faculty creating courses for 60,000+ students.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Compared fixed-size and section-aware chunking on course documents to preserve complete policy passages in retrieved results.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transcript-analysis time from four hours to 15 minutes using a Neo4j knowledge graph and validated Cypher queries.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08/2024 - 05/2025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Student Researcher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PyTorch and Diffusers benchmark for text-to-video models that scores physical plausibility separately from visual quality, holding seed, resolution and sampler fixed.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Found visual quality barely predicts physical plausibility: the top model by human preference ranked last on causal consistency.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Designed a frame-level rubric for rigid-body motion, gravity, momentum and occlusion, and measured inter-rater agreement before trusting any aggregate score.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Derived a failure taxonomy from annotated clips: broken object permanence, non-conserved mass, teleporting contact and physics that resets at a scene cut.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Knowledge Exchange for Resilience, Arizona State University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06/2024 - 08/2024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Data Research Aide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Phoenix, AZ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p95 retrieval latency 60% at 95% recall using hybrid FAISS and Neo4j search.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FastAPI and pgvector collaborator recommender achieving 85% top-k precision in evaluation.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Zeus Learning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01/2022 - 07/2023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Software Engineer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Mumbai,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Reduced deployment time 70% and production incidents 40% through containerized CI/CD and SonarQube quality gates.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DA-IICT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05/2021 - 08/2021</w:t>
      </w:r>
    </w:p>
    <w:p>
      <w:pPr>
        <w:keepNext/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Computer Vision Researcher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Gandhinagar, India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Engineered an autonomous-driving perception stack in Python: radar and lidar capture, timestamp alignment, extrinsic calibration and point-cloud processing, with a replay harness over recorded drives.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Compared early and late sensor fusion on identical sequences, showing point-level merging keeps detail but inherits both sensors' noise while object-level merging is robust but discards evidence.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PROJECTS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AiJockey – AI DJ Pipeline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2025 - Present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Built a PyTorch/FastAPI audio pipeline with stem separation, LLM transition planning and 25+ DSP transitions; ported inference to AMD MI300X.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Trained a MERT-95M reward head to score audio segments across four aesthetic dimensions for candidate selection.</w:t>
      </w:r>
    </w:p>
    <w:p>
      <w:pPr>
        <w:spacing w:before="0" w:after="10" w:line="248" w:lineRule="exact"/>
        <w:ind w:left="200" w:hanging="200"/>
      </w:pPr>
      <w:r>
        <w:rPr>
          <w:rFonts w:ascii="Lato" w:hAnsi="Lato" w:cs="Lato"/>
          <w:sz w:val="21"/>
          <w:szCs w:val="21"/>
          <w:color w:val="111111"/>
        </w:rPr>
        <w:t xml:space="preserve">•</w:t>
      </w:r>
      <w:r>
        <w:rPr>
          <w:rFonts w:ascii="Lato" w:hAnsi="Lato" w:cs="Lato"/>
          <w:sz w:val="21"/>
          <w:szCs w:val="21"/>
          <w:color w:val="111111"/>
        </w:rPr>
        <w:t xml:space="preserve">  </w:t>
      </w:r>
      <w:r>
        <w:rPr>
          <w:rFonts w:ascii="Lato" w:hAnsi="Lato" w:cs="Lato"/>
          <w:sz w:val="21"/>
          <w:szCs w:val="21"/>
          <w:color w:val="111111"/>
        </w:rPr>
        <w:t xml:space="preserve">Implemented DPO, KTO and IPO preference-training variants; reduced DPO training loss from 0.68 to 0.47 on labeled pairs.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TECHNICAL SKILLS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Languages &amp; Models: </w:t>
      </w:r>
      <w:r>
        <w:rPr>
          <w:rFonts w:ascii="Lato" w:hAnsi="Lato" w:cs="Lato"/>
          <w:sz w:val="21"/>
          <w:szCs w:val="21"/>
          <w:color w:val="111111"/>
        </w:rPr>
        <w:t xml:space="preserve">Python, SQL, PyTorch, Diffusers, NumPy, SciPy, statsmodels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Retrieval &amp; Evaluation: </w:t>
      </w:r>
      <w:r>
        <w:rPr>
          <w:rFonts w:ascii="Lato" w:hAnsi="Lato" w:cs="Lato"/>
          <w:sz w:val="21"/>
          <w:szCs w:val="21"/>
          <w:color w:val="111111"/>
        </w:rPr>
        <w:t xml:space="preserve">FAISS, pgvector, Neo4j, RAG, LLM evaluation, LangGraph</w:t>
      </w:r>
    </w:p>
    <w:p>
      <w:pPr>
        <w:spacing w:before="0" w:after="1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Serving &amp; Cloud: </w:t>
      </w:r>
      <w:r>
        <w:rPr>
          <w:rFonts w:ascii="Lato" w:hAnsi="Lato" w:cs="Lato"/>
          <w:sz w:val="21"/>
          <w:szCs w:val="21"/>
          <w:color w:val="111111"/>
        </w:rPr>
        <w:t xml:space="preserve">FastAPI, AWS Bedrock, GCP Cloud Run, Docker, pytest</w:t>
      </w:r>
    </w:p>
    <w:p>
      <w:pPr>
        <w:keepNext/>
        <w:pBdr>
          <w:bottom w:val="single" w:sz="4" w:space="1" w:color="999999"/>
        </w:pBdr>
        <w:spacing w:before="120" w:after="40" w:line="240" w:lineRule="auto"/>
      </w:pPr>
      <w:r>
        <w:rPr>
          <w:rFonts w:ascii="Lato" w:hAnsi="Lato" w:cs="Lato"/>
          <w:sz w:val="22"/>
          <w:szCs w:val="22"/>
          <w:b/>
          <w:color w:val="111111"/>
        </w:rPr>
        <w:t xml:space="preserve">EDUCATION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Arizona State University (ASU)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08/2023 - 05/2025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M.S., Computer Science | GPA: 4.0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Tempe, AZ, USA</w:t>
      </w:r>
    </w:p>
    <w:p>
      <w:pPr>
        <w:keepNext/>
        <w:tabs>
          <w:tab w:val="right" w:pos="10656"/>
        </w:tabs>
        <w:spacing w:before="60" w:after="0" w:line="248" w:lineRule="exact"/>
      </w:pPr>
      <w:r>
        <w:rPr>
          <w:rFonts w:ascii="Lato" w:hAnsi="Lato" w:cs="Lato"/>
          <w:sz w:val="21"/>
          <w:szCs w:val="21"/>
          <w:b/>
          <w:color w:val="111111"/>
        </w:rPr>
        <w:t xml:space="preserve">Dhirubhai Ambani Institute of Information and Communication Technology</w:t>
      </w:r>
      <w:r>
        <w:tab/>
      </w:r>
      <w:r>
        <w:rPr>
          <w:rFonts w:ascii="Lato" w:hAnsi="Lato" w:cs="Lato"/>
          <w:sz w:val="21"/>
          <w:szCs w:val="21"/>
          <w:b/>
          <w:color w:val="111111"/>
        </w:rPr>
        <w:t xml:space="preserve">08/2018 - 05/2022</w:t>
      </w:r>
    </w:p>
    <w:p>
      <w:pPr>
        <w:tabs>
          <w:tab w:val="right" w:pos="10656"/>
        </w:tabs>
        <w:spacing w:before="0" w:after="10" w:line="248" w:lineRule="exact"/>
      </w:pPr>
      <w:r>
        <w:rPr>
          <w:rFonts w:ascii="Lato" w:hAnsi="Lato" w:cs="Lato"/>
          <w:sz w:val="21"/>
          <w:szCs w:val="21"/>
          <w:i/>
          <w:color w:val="111111"/>
        </w:rPr>
        <w:t xml:space="preserve">B.Tech., Information and Communication Technology</w:t>
      </w:r>
      <w:r>
        <w:tab/>
      </w:r>
      <w:r>
        <w:rPr>
          <w:rFonts w:ascii="Lato" w:hAnsi="Lato" w:cs="Lato"/>
          <w:sz w:val="21"/>
          <w:szCs w:val="21"/>
          <w:i/>
          <w:color w:val="111111"/>
        </w:rPr>
        <w:t xml:space="preserve">India</w:t>
      </w:r>
    </w:p>
    <w:sectPr>
      <w:pgSz w:w="12240" w:h="15840"/>
      <w:pgMar w:top="720" w:right="792" w:bottom="720" w:left="792" w:header="0" w:footer="0" w:gutter="0"/>
    </w:sectPr>
  </w:body>
</w:document>
</file>

<file path=word/fontTable.xml><?xml version="1.0" encoding="utf-8"?>
<w:fonts xmlns:w="http://schemas.openxmlformats.org/wordprocessingml/2006/main">
  <w:font w:name="Lato">
    <w:panose1 w:val="020F0502020204030203"/>
    <w:charset w:val="00"/>
    <w:family w:val="swiss"/>
    <w:pitch w:val="variable"/>
  </w:font>
</w:font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/Relationships>
</file>