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 multi-agent LLM platform end to end on AWS Bedrock and Step Functions: 12 tool-calling agents over 76 tools answer questions on any structured dataset, each answer cited to its source rows.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the LLM eval harness: code-scored benchmarks and LLM-as-judge rubrics gate every agent and prompt change; answer verification cut hallucinated figures 85% across 164 published results.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traceability into every LLM run: per-row correlation IDs, versioned outputs and corrections, lineage and replayable runs; structured outputs reached 100% join integrity where 1 in 8 rows used to be mislabeled.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pipeline latency from 500 to 85 seconds with direct tool calls and held a 19-call run to $0.03 with Bedrock prompt caching, bounding failures and spend with a 5% circuit breaker and per-stage caps.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Rebuilt a 14-Cloud-Function backend as one durable LangGraph agent workflow on GCP Cloud Run, with checkpointing and human-in-the-loop interrupt and resume, cutting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Instrumented LLM observability via Logfire (OpenTelemetry), tracing each run across pause and resume.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Lifted dataset accuracy 25% with Gemini entity resolution, scored by LLM-as-judge, over 70,000+ records a day.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Shipped a multi-tenant RAG assistant to 1,000+ faculty building courses for 60,000+ students, with hybrid vector and keyword search, section-aware chunking and a source citation on every answer.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Gated every prompt release on Prompt Flow LLM-as-judge evals for groundedness, relevance and coherence.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12/2025 - 01/2026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Python/FastMCP integration exposing seven utility-account tools for billing, usage and outage queries, with an interactive setup wizard.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APIs: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SQL, FastAPI, NestJS, REST APIs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 Engineering: </w:t>
      </w:r>
      <w:r>
        <w:rPr>
          <w:rFonts w:ascii="Lato" w:hAnsi="Lato" w:cs="Lato"/>
          <w:sz w:val="21"/>
          <w:szCs w:val="21"/>
          <w:color w:val="111111"/>
        </w:rPr>
        <w:t xml:space="preserve">AI agents, multi-agent systems, tool calling, RAG, GraphRAG, prompt engineering, LLM evals, LLM-as-judge, structured outputs, guardrails, fine-tuning (DPO)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Models &amp; Frameworks: </w:t>
      </w:r>
      <w:r>
        <w:rPr>
          <w:rFonts w:ascii="Lato" w:hAnsi="Lato" w:cs="Lato"/>
          <w:sz w:val="21"/>
          <w:szCs w:val="21"/>
          <w:color w:val="111111"/>
        </w:rPr>
        <w:t xml:space="preserve">OpenAI, AWS Bedrock, Gemini, LangGraph, LangChain, MCP, PyTorch, Hugging Face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Data &amp; Cloud: </w:t>
      </w:r>
      <w:r>
        <w:rPr>
          <w:rFonts w:ascii="Lato" w:hAnsi="Lato" w:cs="Lato"/>
          <w:sz w:val="21"/>
          <w:szCs w:val="21"/>
          <w:color w:val="111111"/>
        </w:rPr>
        <w:t xml:space="preserve">pgvector, FAISS, Neo4j, PostgreSQL, AWS, GCP, Docker, Kubernetes, Logfire, OpenTelemetry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