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end-to-end architecture and delivery of an AWS analytics platform: a 14-page Nuxt frontend, 70 NestJS API routes and shared TypeScript contracts.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Engineered 64-way AWS Step Functions processing with a failure circuit breaker after diagnosing silent row loss in runs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Reached 100% join integrity in repeat pipeline evaluations using schema-constrained output and row correlation tokens; the baseline silently mislabeled 1 in 8 rows.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Secured the analytics proof of concept with entitlement-gated respondent access, Bedrock Guardrails deployed through AWS CDK and enforced per-stage spend limits.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pause-and-resume for incomplete records and retry-safe task processing through deterministic IDs and atomic Firestore claims.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Redis-backed desk-booking service used across 300+ offices at Fortune 500 companies.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Frontend: </w:t>
      </w:r>
      <w:r>
        <w:rPr>
          <w:rFonts w:ascii="Lato" w:hAnsi="Lato" w:cs="Lato"/>
          <w:sz w:val="22"/>
          <w:szCs w:val="22"/>
          <w:color w:val="111111"/>
        </w:rPr>
        <w:t xml:space="preserve">React, Next.js, Vue/Nuxt, React Native, ReactFlow, Zustand, Material UI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Backend &amp; APIs: </w:t>
      </w:r>
      <w:r>
        <w:rPr>
          <w:rFonts w:ascii="Lato" w:hAnsi="Lato" w:cs="Lato"/>
          <w:sz w:val="22"/>
          <w:szCs w:val="22"/>
          <w:color w:val="111111"/>
        </w:rPr>
        <w:t xml:space="preserve">Node.js, NestJS, FastAPI, Express, .NET 8, REST APIs, WebSockets, JWT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Databases &amp; Search: </w:t>
      </w:r>
      <w:r>
        <w:rPr>
          <w:rFonts w:ascii="Lato" w:hAnsi="Lato" w:cs="Lato"/>
          <w:sz w:val="22"/>
          <w:szCs w:val="22"/>
          <w:color w:val="111111"/>
        </w:rPr>
        <w:t xml:space="preserve">PostgreSQL, Redis, DuckDB, Firestore, Algolia, Supabase, Neo4j, pgvector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DevOps: </w:t>
      </w:r>
      <w:r>
        <w:rPr>
          <w:rFonts w:ascii="Lato" w:hAnsi="Lato" w:cs="Lato"/>
          <w:sz w:val="22"/>
          <w:szCs w:val="22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Testing &amp; Observability: </w:t>
      </w:r>
      <w:r>
        <w:rPr>
          <w:rFonts w:ascii="Lato" w:hAnsi="Lato" w:cs="Lato"/>
          <w:sz w:val="22"/>
          <w:szCs w:val="22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 Applications: </w:t>
      </w:r>
      <w:r>
        <w:rPr>
          <w:rFonts w:ascii="Lato" w:hAnsi="Lato" w:cs="Lato"/>
          <w:sz w:val="22"/>
          <w:szCs w:val="22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