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40" w:line="252" w:lineRule="auto"/>
        <w:jc w:val="center"/>
      </w:pPr>
      <w:r>
        <w:rPr>
          <w:rFonts w:ascii="Arial" w:hAnsi="Arial" w:cs="Arial"/>
          <w:sz w:val="42"/>
          <w:szCs w:val="42"/>
          <w:b/>
          <w:color w:val="111111"/>
        </w:rPr>
        <w:t xml:space="preserve">ARCHIT AGRAWAL</w:t>
      </w:r>
    </w:p>
    <w:p>
      <w:pPr>
        <w:spacing w:before="0" w:after="140" w:line="252" w:lineRule="auto"/>
        <w:jc w:val="center"/>
      </w:pPr>
      <w:r>
        <w:rPr>
          <w:rFonts w:ascii="Arial" w:hAnsi="Arial" w:cs="Arial"/>
          <w:sz w:val="16"/>
          <w:szCs w:val="16"/>
          <w:color w:val="333333"/>
        </w:rPr>
        <w:t xml:space="preserve">Phoenix, AZ    623-312-0435    architagrawal000@gmail.com    linkedin.com/in/agrawal-archit    github.com/architagrawal    agrawal-archit.vercel.app</w:t>
      </w:r>
    </w:p>
    <w:p>
      <w:pPr>
        <w:pBdr>
          <w:bottom w:val="single" w:sz="6" w:space="1" w:color="111111"/>
        </w:pBdr>
        <w:spacing w:before="160" w:after="60" w:line="252" w:lineRule="auto"/>
      </w:pPr>
      <w:r>
        <w:rPr>
          <w:rFonts w:ascii="Arial" w:hAnsi="Arial" w:cs="Arial"/>
          <w:sz w:val="18"/>
          <w:szCs w:val="18"/>
          <w:b/>
          <w:color w:val="111111"/>
        </w:rPr>
        <w:t xml:space="preserve">EXPERIENCE</w:t>
      </w:r>
    </w:p>
    <w:p>
      <w:pPr>
        <w:tabs>
          <w:tab w:val="right" w:pos="10400"/>
        </w:tabs>
        <w:spacing w:before="100" w:after="20" w:line="252" w:lineRule="auto"/>
      </w:pPr>
      <w:r>
        <w:rPr>
          <w:rFonts w:ascii="Arial" w:hAnsi="Arial" w:cs="Arial"/>
          <w:sz w:val="19"/>
          <w:szCs w:val="19"/>
          <w:b/>
          <w:color w:val="111111"/>
        </w:rPr>
        <w:t xml:space="preserve">AI Software Engineer, </w:t>
      </w:r>
      <w:r>
        <w:rPr>
          <w:rFonts w:ascii="Arial" w:hAnsi="Arial" w:cs="Arial"/>
          <w:sz w:val="19"/>
          <w:szCs w:val="19"/>
          <w:color w:val="111111"/>
        </w:rPr>
        <w:t xml:space="preserve">EdPlus</w:t>
      </w:r>
      <w:r>
        <w:tab/>
      </w:r>
      <w:r>
        <w:rPr>
          <w:rFonts w:ascii="Arial" w:hAnsi="Arial" w:cs="Arial"/>
          <w:sz w:val="17"/>
          <w:szCs w:val="17"/>
          <w:color w:val="333333"/>
        </w:rPr>
        <w:t xml:space="preserve">Phoenix, AZ    May 2026 – Present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Architected and currently own a 12-agent analytics platform turning any structured dataset into charts and cited answers with zero per-dataset code; TypeScript, NestJS, AWS Bedrock, Step Functions.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Built the Nuxt front end where a plain-English question returns an interactive chart with sort, filter, top-N and undo, on in-process DuckDB holding latency flat at 200x row volume.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Designed a rules-based chart selector across 17 chart types grounded in visualization research; LLM suggestions ship only when they outscore the rules, so AI cannot worsen a chart.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Quadrupled insight recall in automated reports, 13% to 52-59% on held-out datasets, by letting an agent pick the analyses while deterministic code computes every number.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Caught a silent bug mislabeling 13% of rows before it reached institutional reports, reaching 100% join integrity with schema-constrained LLM output and citation checks.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Benchmarked models against pipeline variants, finding model choice moved F1 33x more than architecture at $5 to $89 per 100k rows; redirected the roadmap to model selection.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Reproduced the team's evaluation, traced a reported 0.637 accuracy to a hand-reviewed spreadsheet, and set a validated 0.523 baseline for future experiments.</w:t>
      </w:r>
    </w:p>
    <w:p>
      <w:pPr>
        <w:tabs>
          <w:tab w:val="right" w:pos="10400"/>
        </w:tabs>
        <w:spacing w:before="100" w:after="20" w:line="252" w:lineRule="auto"/>
      </w:pPr>
      <w:r>
        <w:rPr>
          <w:rFonts w:ascii="Arial" w:hAnsi="Arial" w:cs="Arial"/>
          <w:sz w:val="19"/>
          <w:szCs w:val="19"/>
          <w:b/>
          <w:color w:val="111111"/>
        </w:rPr>
        <w:t xml:space="preserve">Founding AI/ML Engineer, </w:t>
      </w:r>
      <w:r>
        <w:rPr>
          <w:rFonts w:ascii="Arial" w:hAnsi="Arial" w:cs="Arial"/>
          <w:sz w:val="19"/>
          <w:szCs w:val="19"/>
          <w:color w:val="111111"/>
        </w:rPr>
        <w:t xml:space="preserve">MyStage Music Inc.</w:t>
      </w:r>
      <w:r>
        <w:tab/>
      </w:r>
      <w:r>
        <w:rPr>
          <w:rFonts w:ascii="Arial" w:hAnsi="Arial" w:cs="Arial"/>
          <w:sz w:val="17"/>
          <w:szCs w:val="17"/>
          <w:color w:val="333333"/>
        </w:rPr>
        <w:t xml:space="preserve">Remote    Jul 2025 – May 2026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Re-architected a 14-Cloud-Function backend into one checkpointed LangGraph agent in Python on GCP Cloud Run, cutting production service dependencies 64%.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Built a Playwright ingestion pipeline handling 70,000+ records a day from 650+ venues, with transactional locking against duplicate work and Gemini entity resolution raising dataset accuracy 25%.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Delivered sub-50 ms search on FastAPI and Algolia with real-time Firestore sync, covered by 200+ pytest tests and end-to-end Logfire tracing.</w:t>
      </w:r>
    </w:p>
    <w:p>
      <w:pPr>
        <w:tabs>
          <w:tab w:val="right" w:pos="10400"/>
        </w:tabs>
        <w:spacing w:before="100" w:after="20" w:line="252" w:lineRule="auto"/>
      </w:pPr>
      <w:r>
        <w:rPr>
          <w:rFonts w:ascii="Arial" w:hAnsi="Arial" w:cs="Arial"/>
          <w:sz w:val="19"/>
          <w:szCs w:val="19"/>
          <w:b/>
          <w:color w:val="111111"/>
        </w:rPr>
        <w:t xml:space="preserve">Software Engineer, </w:t>
      </w:r>
      <w:r>
        <w:rPr>
          <w:rFonts w:ascii="Arial" w:hAnsi="Arial" w:cs="Arial"/>
          <w:sz w:val="19"/>
          <w:szCs w:val="19"/>
          <w:color w:val="111111"/>
        </w:rPr>
        <w:t xml:space="preserve">EdPlus</w:t>
      </w:r>
      <w:r>
        <w:tab/>
      </w:r>
      <w:r>
        <w:rPr>
          <w:rFonts w:ascii="Arial" w:hAnsi="Arial" w:cs="Arial"/>
          <w:sz w:val="17"/>
          <w:szCs w:val="17"/>
          <w:color w:val="333333"/>
        </w:rPr>
        <w:t xml:space="preserve">Phoenix, AZ    Sep 2023 – May 2025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Led end-to-end development of a multi-tenant RAG assistant, React front end to retrieval layer, used by 1,000+ faculty to author courses reaching 60,000+ students.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Cut transcript analysis from 4 hours to 15 minutes, 16x, with a Neo4j knowledge graph queried by schema-validated LLM-generated Cypher.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Enforced per-college data isolation at the retrieval layer so one tenant's material cannot surface in another's, making onboarding a config change, not a deployment.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Built a Prompt Flow evaluation harness scoring groundedness, relevance and coherence, so every prompt change shipped on evidence rather than opinion.</w:t>
      </w:r>
    </w:p>
    <w:p>
      <w:pPr>
        <w:tabs>
          <w:tab w:val="right" w:pos="10400"/>
        </w:tabs>
        <w:spacing w:before="100" w:after="20" w:line="252" w:lineRule="auto"/>
      </w:pPr>
      <w:r>
        <w:rPr>
          <w:rFonts w:ascii="Arial" w:hAnsi="Arial" w:cs="Arial"/>
          <w:sz w:val="19"/>
          <w:szCs w:val="19"/>
          <w:b/>
          <w:color w:val="111111"/>
        </w:rPr>
        <w:t xml:space="preserve">Student Researcher, </w:t>
      </w:r>
      <w:r>
        <w:rPr>
          <w:rFonts w:ascii="Arial" w:hAnsi="Arial" w:cs="Arial"/>
          <w:sz w:val="19"/>
          <w:szCs w:val="19"/>
          <w:color w:val="111111"/>
        </w:rPr>
        <w:t xml:space="preserve">Arizona State University</w:t>
      </w:r>
      <w:r>
        <w:tab/>
      </w:r>
      <w:r>
        <w:rPr>
          <w:rFonts w:ascii="Arial" w:hAnsi="Arial" w:cs="Arial"/>
          <w:sz w:val="17"/>
          <w:szCs w:val="17"/>
          <w:color w:val="333333"/>
        </w:rPr>
        <w:t xml:space="preserve">Phoenix, AZ    Aug 2024 – May 2025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Built a PyTorch and Diffusers benchmark for text-to-video models scoring physical plausibility separately from visual quality, with seed, resolution and sampler held fixed.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Showed visual fluency and physical plausibility correlate only weakly: the model ranked first on human preference ranked last on causality.</w:t>
      </w:r>
    </w:p>
    <w:p>
      <w:pPr>
        <w:tabs>
          <w:tab w:val="right" w:pos="10400"/>
        </w:tabs>
        <w:spacing w:before="100" w:after="20" w:line="252" w:lineRule="auto"/>
      </w:pPr>
      <w:r>
        <w:rPr>
          <w:rFonts w:ascii="Arial" w:hAnsi="Arial" w:cs="Arial"/>
          <w:sz w:val="19"/>
          <w:szCs w:val="19"/>
          <w:b/>
          <w:color w:val="111111"/>
        </w:rPr>
        <w:t xml:space="preserve">Data Research Aide, </w:t>
      </w:r>
      <w:r>
        <w:rPr>
          <w:rFonts w:ascii="Arial" w:hAnsi="Arial" w:cs="Arial"/>
          <w:sz w:val="19"/>
          <w:szCs w:val="19"/>
          <w:color w:val="111111"/>
        </w:rPr>
        <w:t xml:space="preserve">Knowledge Exchange for Resilience, Arizona State University</w:t>
      </w:r>
      <w:r>
        <w:tab/>
      </w:r>
      <w:r>
        <w:rPr>
          <w:rFonts w:ascii="Arial" w:hAnsi="Arial" w:cs="Arial"/>
          <w:sz w:val="17"/>
          <w:szCs w:val="17"/>
          <w:color w:val="333333"/>
        </w:rPr>
        <w:t xml:space="preserve">Phoenix, AZ    Jun 2024 – Aug 2024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Cut p95 retrieval latency 60% at 95% recall with a hybrid FAISS and Neo4j search layer.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Built a FastAPI and pgvector recommendation service reaching 85% top-k precision for collaborator matching, fed by an ETL ingesting 10,000+ profiles a day, alongside 20+ REST APIs on .NET 8.</w:t>
      </w:r>
    </w:p>
    <w:p>
      <w:pPr>
        <w:tabs>
          <w:tab w:val="right" w:pos="10400"/>
        </w:tabs>
        <w:spacing w:before="100" w:after="20" w:line="252" w:lineRule="auto"/>
      </w:pPr>
      <w:r>
        <w:rPr>
          <w:rFonts w:ascii="Arial" w:hAnsi="Arial" w:cs="Arial"/>
          <w:sz w:val="19"/>
          <w:szCs w:val="19"/>
          <w:b/>
          <w:color w:val="111111"/>
        </w:rPr>
        <w:t xml:space="preserve">Software Engineer, </w:t>
      </w:r>
      <w:r>
        <w:rPr>
          <w:rFonts w:ascii="Arial" w:hAnsi="Arial" w:cs="Arial"/>
          <w:sz w:val="19"/>
          <w:szCs w:val="19"/>
          <w:color w:val="111111"/>
        </w:rPr>
        <w:t xml:space="preserve">Zeus Learning</w:t>
      </w:r>
      <w:r>
        <w:tab/>
      </w:r>
      <w:r>
        <w:rPr>
          <w:rFonts w:ascii="Arial" w:hAnsi="Arial" w:cs="Arial"/>
          <w:sz w:val="17"/>
          <w:szCs w:val="17"/>
          <w:color w:val="333333"/>
        </w:rPr>
        <w:t xml:space="preserve">Mumbai, India    Jan 2022 – Jul 2023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Built a Redis-backed desk-demand forecasting service used across 300+ Fortune 500 offices including Goldman Sachs and Merck, with reported desk occupancy up 30%.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Cut deploy time 70% and production incidents 40% by containerizing the release pipeline and adding SonarQube quality gates scoped to new code.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Migrated a C# and .NET monolith to Dockerized Kubernetes microservices incrementally behind the existing API, cutting infrastructure cost 20% and footprint 35%.</w:t>
      </w:r>
    </w:p>
    <w:p>
      <w:pPr>
        <w:tabs>
          <w:tab w:val="right" w:pos="10400"/>
        </w:tabs>
        <w:spacing w:before="100" w:after="20" w:line="252" w:lineRule="auto"/>
      </w:pPr>
      <w:r>
        <w:rPr>
          <w:rFonts w:ascii="Arial" w:hAnsi="Arial" w:cs="Arial"/>
          <w:sz w:val="19"/>
          <w:szCs w:val="19"/>
          <w:b/>
          <w:color w:val="111111"/>
        </w:rPr>
        <w:t xml:space="preserve">Product Intern, </w:t>
      </w:r>
      <w:r>
        <w:rPr>
          <w:rFonts w:ascii="Arial" w:hAnsi="Arial" w:cs="Arial"/>
          <w:sz w:val="19"/>
          <w:szCs w:val="19"/>
          <w:color w:val="111111"/>
        </w:rPr>
        <w:t xml:space="preserve">EAT.FIT</w:t>
      </w:r>
      <w:r>
        <w:tab/>
      </w:r>
      <w:r>
        <w:rPr>
          <w:rFonts w:ascii="Arial" w:hAnsi="Arial" w:cs="Arial"/>
          <w:sz w:val="17"/>
          <w:szCs w:val="17"/>
          <w:color w:val="333333"/>
        </w:rPr>
        <w:t xml:space="preserve">Bengaluru, India    Sep 2021 – Dec 2021</w:t>
      </w:r>
    </w:p>
    <w:p>
      <w:pPr>
        <w:spacing w:before="0" w:after="30" w:line="252" w:lineRule="auto"/>
        <w:ind w:left="227" w:hanging="227"/>
      </w:pPr>
      <w:r>
        <w:rPr>
          <w:rFonts w:ascii="Arial" w:hAnsi="Arial" w:cs="Arial"/>
          <w:sz w:val="18"/>
          <w:szCs w:val="18"/>
          <w:color w:val="555555"/>
        </w:rPr>
        <w:t xml:space="preserve">•</w:t>
      </w:r>
      <w:r>
        <w:rPr>
          <w:rFonts w:ascii="Arial" w:hAnsi="Arial" w:cs="Arial"/>
          <w:sz w:val="18"/>
          <w:szCs w:val="18"/>
          <w:color w:val="111111"/>
        </w:rPr>
        <w:t xml:space="preserve">  </w:t>
      </w:r>
      <w:r>
        <w:rPr>
          <w:rFonts w:ascii="Arial" w:hAnsi="Arial" w:cs="Arial"/>
          <w:sz w:val="18"/>
          <w:szCs w:val="18"/>
          <w:color w:val="111111"/>
        </w:rPr>
        <w:t xml:space="preserve">Cut driver-tracking server cost 45% with distance-based polling and client-side interpolation that kept map movement smooth.</w:t>
      </w:r>
    </w:p>
    <w:p>
      <w:pPr>
        <w:pBdr>
          <w:bottom w:val="single" w:sz="6" w:space="1" w:color="111111"/>
        </w:pBdr>
        <w:spacing w:before="160" w:after="60" w:line="252" w:lineRule="auto"/>
      </w:pPr>
      <w:r>
        <w:rPr>
          <w:rFonts w:ascii="Arial" w:hAnsi="Arial" w:cs="Arial"/>
          <w:sz w:val="18"/>
          <w:szCs w:val="18"/>
          <w:b/>
          <w:color w:val="111111"/>
        </w:rPr>
        <w:t xml:space="preserve">EDUCATION</w:t>
      </w:r>
    </w:p>
    <w:p>
      <w:pPr>
        <w:tabs>
          <w:tab w:val="right" w:pos="10400"/>
        </w:tabs>
        <w:spacing w:before="0" w:after="20" w:line="252" w:lineRule="auto"/>
      </w:pPr>
      <w:r>
        <w:rPr>
          <w:rFonts w:ascii="Arial" w:hAnsi="Arial" w:cs="Arial"/>
          <w:sz w:val="18"/>
          <w:szCs w:val="18"/>
          <w:b/>
          <w:color w:val="111111"/>
        </w:rPr>
        <w:t xml:space="preserve">M.S., Computer Science</w:t>
      </w:r>
      <w:r>
        <w:rPr>
          <w:rFonts w:ascii="Arial" w:hAnsi="Arial" w:cs="Arial"/>
          <w:sz w:val="18"/>
          <w:szCs w:val="18"/>
          <w:color w:val="111111"/>
        </w:rPr>
        <w:t xml:space="preserve">, Arizona State University, GPA 4.0</w:t>
      </w:r>
      <w:r>
        <w:tab/>
      </w:r>
      <w:r>
        <w:rPr>
          <w:rFonts w:ascii="Arial" w:hAnsi="Arial" w:cs="Arial"/>
          <w:sz w:val="17"/>
          <w:szCs w:val="17"/>
          <w:color w:val="333333"/>
        </w:rPr>
        <w:t xml:space="preserve">Aug 2023 – May 2025</w:t>
      </w:r>
    </w:p>
    <w:p>
      <w:pPr>
        <w:tabs>
          <w:tab w:val="right" w:pos="10400"/>
        </w:tabs>
        <w:spacing w:before="0" w:after="20" w:line="252" w:lineRule="auto"/>
      </w:pPr>
      <w:r>
        <w:rPr>
          <w:rFonts w:ascii="Arial" w:hAnsi="Arial" w:cs="Arial"/>
          <w:sz w:val="18"/>
          <w:szCs w:val="18"/>
          <w:b/>
          <w:color w:val="111111"/>
        </w:rPr>
        <w:t xml:space="preserve">B.Tech., Information and Communication Technology</w:t>
      </w:r>
      <w:r>
        <w:rPr>
          <w:rFonts w:ascii="Arial" w:hAnsi="Arial" w:cs="Arial"/>
          <w:sz w:val="18"/>
          <w:szCs w:val="18"/>
          <w:color w:val="111111"/>
        </w:rPr>
        <w:t xml:space="preserve">, DA-IICT</w:t>
      </w:r>
      <w:r>
        <w:tab/>
      </w:r>
      <w:r>
        <w:rPr>
          <w:rFonts w:ascii="Arial" w:hAnsi="Arial" w:cs="Arial"/>
          <w:sz w:val="17"/>
          <w:szCs w:val="17"/>
          <w:color w:val="333333"/>
        </w:rPr>
        <w:t xml:space="preserve">Aug 2018 – May 2022</w:t>
      </w:r>
    </w:p>
    <w:sectPr>
      <w:pgSz w:w="12240" w:h="15840"/>
      <w:pgMar w:top="720" w:right="893" w:bottom="720" w:left="893" w:header="0" w:footer="0" w:gutter="0"/>
    </w:sectPr>
  </w:body>
</w:document>
</file>