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S3 storage with compact fact tables and Lance payloads, queried through DuckDB for full-text and vector search.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Parallelized data labeling across 64 AWS Step Functions lanes, with a failure circuit breaker to detect incomplete runs.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Reached 100% join integrity on repeat runs with schema-constrained LLM output and per-row IDs; the prior pipeline silently mislabeled 1 in 8 rows.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publishing time from 19 minutes to 109 seconds for a 51,280-respondent survey; an independent raw-data audit matched all evaluated figures.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Scaled ingestion to 70,000+ records daily from 650+ venues using Playwright, transactional locking and entity resolution.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ingestion retries safe with deterministic task IDs and atomic create-if-absent writes, preventing duplicate jobs from overwriting in-flight work.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tenant isolation in retrieval services and configuration-based onboarding for additional colleges.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transcript-analysis time from four hours to 15 minutes using a Neo4j knowledge graph and validated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20+ REST APIs in .NET 8 and an ETL pipeline ingesting 10,000+ researcher profiles daily into PostgreSQL.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ETL reruns idempotent through natural-key upserts, preventing duplicate records after partial failures.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Enforced uniqueness, not-null and range constraints in PostgreSQL to reject invalid records during ingestion.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student-listing performance 30% with pagination and S3 asset delivery; reduced class-detail latency 10% through SQL query rewrites.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Image Recognition as a Service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01/2024 - 02/2024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AWS EC2/SQS image-processing service with queue-based scaling, asynchronous results and idempotent workers for safe message retries.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Storage: </w:t>
      </w:r>
      <w:r>
        <w:rPr>
          <w:rFonts w:ascii="Lato" w:hAnsi="Lato" w:cs="Lato"/>
          <w:sz w:val="21"/>
          <w:szCs w:val="21"/>
          <w:color w:val="111111"/>
        </w:rPr>
        <w:t xml:space="preserve">Python, SQL, TypeScript, PostgreSQL, DuckDB, S3, Lance, Redis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Pipelines: </w:t>
      </w:r>
      <w:r>
        <w:rPr>
          <w:rFonts w:ascii="Lato" w:hAnsi="Lato" w:cs="Lato"/>
          <w:sz w:val="21"/>
          <w:szCs w:val="21"/>
          <w:color w:val="111111"/>
        </w:rPr>
        <w:t xml:space="preserve">ETL, Step Functions, Lambda, GCP Cloud Run, FastAPI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Quality &amp; Deployment: </w:t>
      </w:r>
      <w:r>
        <w:rPr>
          <w:rFonts w:ascii="Lato" w:hAnsi="Lato" w:cs="Lato"/>
          <w:sz w:val="21"/>
          <w:szCs w:val="21"/>
          <w:color w:val="111111"/>
        </w:rPr>
        <w:t xml:space="preserve">Data validation, idempotent processing, Docker, Kubernetes, CI/CD, pytest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