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  <w:jc w:val="center"/>
      </w:pPr>
      <w:r>
        <w:rPr>
          <w:rFonts w:ascii="Lato" w:hAnsi="Lato" w:cs="Lato"/>
          <w:sz w:val="36"/>
          <w:szCs w:val="36"/>
          <w:color w:val="111111"/>
        </w:rPr>
        <w:t xml:space="preserve">ARCHIT AGRAWAL</w:t>
      </w:r>
    </w:p>
    <w:p>
      <w:pPr>
        <w:spacing w:before="0" w:after="100" w:line="240" w:lineRule="auto"/>
        <w:jc w:val="center"/>
      </w:pPr>
      <w:r>
        <w:rPr>
          <w:rFonts w:ascii="Lato" w:hAnsi="Lato" w:cs="Lato"/>
          <w:sz w:val="19"/>
          <w:szCs w:val="19"/>
          <w:color w:val="111111"/>
        </w:rPr>
        <w:t xml:space="preserve">San Francisco Bay Area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color w:val="111111"/>
        </w:rPr>
        <w:t xml:space="preserve">623-312-0435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architagrawal000@gmail.com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LinkedIn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GitHub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Portfolio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PROFESSIONAL EXPERIENCE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06/2026 - Present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AI 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Validated 25 statistical tests and six causal estimators against SciPy and statsmodels; scored 68% on a 100-question StatQA sample, against GPT-4o's best reported 64.83%.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Designed a controlled experiment showing model choice moves text-classification F1 33x more than pipeline design (0.230 vs 0.007), redirecting the team's roadmap toward reliability.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Quadrupled the headline findings automated reports recover, 13% to 52–59% on held-out datasets, by letting an LLM choose analyses while code computes every number.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Designed conformal accept and abstain thresholds that bound the error rate on accepted labels, giving every label a calibrated 0–100 confidence.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Designed blind random QC audits per run that yield both a quality score and a corrected estimate published with its margin of error.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Retired a 0.637 baseline the project's claims rested on after fresh runs reproduced it at 0.523, tracing the gap to a human-reviewed delivery file.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cross-run disagreements from 30,405 to 263 across 411 runs by giving every column one meaning in one semantic model.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Calibrated codebook fit before labeling: a 25-row sample separated the right codebook at 0.598 with 4% abstention vs 0.316 and 88%, for about $0.001.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Improved accuracy from 60% to 93% on the hardest benchmark questions by consolidating column definitions in a shared semantic layer.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Designed a chart recommender covering 17 chart types, retaining deterministic rules when LLM proposals failed to improve evaluation scores.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Blocked double counting in cross-dataset joins by detecting runs that share the same people.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MyStage Music Inc.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03/2025 - 06/2026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Founding AI/ML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Remote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Lifted dataset accuracy 25% with Gemini entity resolution, scored by LLM-as-judge, over 70,000+ records a day.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Scaled ingestion to 70,000+ records daily from 650+ venues using Playwright, transactional locking and entity resolution.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09/2023 - 05/2025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Gated every prompt release on Prompt Flow LLM-as-judge evals for groundedness, relevance and coherence.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Compared fixed-size and section-aware chunking on course documents to preserve complete policy passages in retrieved results.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transcript-analysis time from four hours to 15 minutes with a Neo4j knowledge graph and schema-validated, LLM-generated Cypher queries.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08/2024 - 05/2025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Student Researcher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PyTorch and Diffusers benchmark for text-to-video models that scores physical plausibility separately from visual quality, holding seed, resolution and sampler fixed.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Found visual quality barely predicts physical plausibility: the top model by human preference ranked last on causal consistency.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Designed a frame-level rubric for rigid-body motion, gravity, momentum and occlusion, and measured inter-rater agreement before trusting any aggregate score.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Derived a failure taxonomy from annotated clips: broken object permanence, non-conserved mass, teleporting contact and physics that resets at a scene cut.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Knowledge Exchange for Resilience,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06/2024 - 08/2024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Data Research Aide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FastAPI and pgvector collaborator recommender achieving 85% top-k precision in evaluation.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Lifted search relevance 15% over baseline with an n-gram ranking model over cleaned researcher-profile text.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p95 retrieval latency 60% at 95% recall using hybrid FAISS and Neo4j search.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Zeus Learning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01/2022 - 07/2023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Mumbai, India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desk-demand forecasting model on historical occupancy by floor, day and team, served from Redis to 300+ offices; reported occupancy improved 30%.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DA-IICT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05/2021 - 08/2021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Computer Vision Researcher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Gandhinagar, India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Engineered an autonomous-driving perception stack in Python: radar and lidar capture, timestamp alignment, extrinsic calibration and point-cloud processing, with a replay harness over recorded drives.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Compared early and late sensor fusion on identical sequences, showing point-level merging keeps detail but inherits both sensors' noise while object-level merging is robust but discards evidence.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PROJECTS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Soccer Result Prediction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10/2023 - 12/2023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Lifted match-outcome accuracy 12% by ensembling LSTM and XGBoost over rolling-window form features, with a time-based split that prevents leakage.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Scored models on log loss, checked calibration with reliability plots and reported per-class recall for the hard draw class.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Jet Engine Remaining Useful Life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10/2024 - 12/2024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Predicted jet-engine remaining useful life from NASA CMAPSS sensor time series, engineering features and comparing machine learning, deep learning and generative regressors.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AiJockey – AI DJ Pipeline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2025 - Present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PyTorch/FastAPI audio pipeline with stem separation, LLM transition planning and 25+ DSP transitions; ported inference to AMD MI300X.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Trained a MERT-95M reward head to score audio segments across four aesthetic dimensions for candidate selection.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Fine-tuned with DPO, KTO and IPO preference training; reduced DPO training loss from 0.68 to 0.47 on labeled pairs.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TECHNICAL SKILLS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Languages &amp; Libraries: </w:t>
      </w:r>
      <w:r>
        <w:rPr>
          <w:rFonts w:ascii="Lato" w:hAnsi="Lato" w:cs="Lato"/>
          <w:sz w:val="21"/>
          <w:szCs w:val="21"/>
          <w:color w:val="111111"/>
        </w:rPr>
        <w:t xml:space="preserve">Python, SQL, pandas, NumPy, scikit-learn, XGBoost, SciPy, statsmodels, PyTorch, TensorFlow, Diffusers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Statistics: </w:t>
      </w:r>
      <w:r>
        <w:rPr>
          <w:rFonts w:ascii="Lato" w:hAnsi="Lato" w:cs="Lato"/>
          <w:sz w:val="21"/>
          <w:szCs w:val="21"/>
          <w:color w:val="111111"/>
        </w:rPr>
        <w:t xml:space="preserve">Hypothesis testing, A/B testing, experiment design, causal inference, regression, survey weighting, sampling, margin of error, conformal prediction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Machine Learning: </w:t>
      </w:r>
      <w:r>
        <w:rPr>
          <w:rFonts w:ascii="Lato" w:hAnsi="Lato" w:cs="Lato"/>
          <w:sz w:val="21"/>
          <w:szCs w:val="21"/>
          <w:color w:val="111111"/>
        </w:rPr>
        <w:t xml:space="preserve">Classification, NLP, text classification, embeddings, clustering, recommendation, ranking, time series, forecasting, deep learning (LSTM, CNN), fine-tuning (DPO)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Evaluation: </w:t>
      </w:r>
      <w:r>
        <w:rPr>
          <w:rFonts w:ascii="Lato" w:hAnsi="Lato" w:cs="Lato"/>
          <w:sz w:val="21"/>
          <w:szCs w:val="21"/>
          <w:color w:val="111111"/>
        </w:rPr>
        <w:t xml:space="preserve">Model evaluation, benchmark design, log loss, F1, precision@k, recall, calibration, inter-rater agreement, LLM-as-judge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Data &amp; Visualization: </w:t>
      </w:r>
      <w:r>
        <w:rPr>
          <w:rFonts w:ascii="Lato" w:hAnsi="Lato" w:cs="Lato"/>
          <w:sz w:val="21"/>
          <w:szCs w:val="21"/>
          <w:color w:val="111111"/>
        </w:rPr>
        <w:t xml:space="preserve">DuckDB, PostgreSQL, pgvector, FAISS, Neo4j, AWS Bedrock, Plotly, D3, Vega-Lite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EDUCATION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 (ASU)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08/2023 - 05/2025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M.S., Computer Science | GPA: 4.0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Tempe, AZ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Dhirubhai Ambani Institute of Information and Communication Technology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08/2018 - 05/2022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B.Tech., Information and Communication Technology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Gandhinagar, India</w:t>
      </w:r>
    </w:p>
    <w:sectPr>
      <w:pgSz w:w="12240" w:h="15840"/>
      <w:pgMar w:top="720" w:right="792" w:bottom="720" w:left="792" w:header="0" w:footer="0" w:gutter="0"/>
    </w:sectPr>
  </w:body>
</w:document>
</file>

<file path=word/fontTable.xml><?xml version="1.0" encoding="utf-8"?>
<w:fonts xmlns:w="http://schemas.openxmlformats.org/wordprocessingml/2006/main">
  <w:font w:name="Lato">
    <w:panose1 w:val="020F0502020204030203"/>
    <w:charset w:val="00"/>
    <w:family w:val="swiss"/>
    <w:pitch w:val="variable"/>
  </w:font>
</w:fo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/Relationships>
</file>