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 w:line="240" w:lineRule="auto"/>
        <w:jc w:val="center"/>
      </w:pPr>
      <w:r>
        <w:rPr>
          <w:rFonts w:ascii="Lato" w:hAnsi="Lato" w:cs="Lato"/>
          <w:sz w:val="36"/>
          <w:szCs w:val="36"/>
          <w:color w:val="111111"/>
        </w:rPr>
        <w:t xml:space="preserve">ARCHIT AGRAWAL</w:t>
      </w:r>
    </w:p>
    <w:p>
      <w:pPr>
        <w:spacing w:before="0" w:after="100" w:line="240" w:lineRule="auto"/>
        <w:jc w:val="center"/>
      </w:pPr>
      <w:r>
        <w:rPr>
          <w:rFonts w:ascii="Lato" w:hAnsi="Lato" w:cs="Lato"/>
          <w:sz w:val="19"/>
          <w:szCs w:val="19"/>
          <w:color w:val="111111"/>
        </w:rPr>
        <w:t xml:space="preserve">San Francisco Bay Area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color w:val="111111"/>
        </w:rPr>
        <w:t xml:space="preserve">623-312-0435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architagrawal000@gmail.com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LinkedIn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GitHub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Portfolio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PROFESSIONAL EXPERIENCE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06/2026 - Present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AI 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Validated 25 statistical tests and six causal estimators against SciPy and statsmodels; scored 68% on a 100-question StatQA sample, against GPT-4o's best reported 64.83%.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Designed a controlled experiment showing model choice moves text-classification F1 33x more than pipeline design (0.230 vs 0.007), redirecting the team's roadmap toward reliability.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Quadrupled the headline findings automated reports recover, 13% to 52–59% on held-out datasets, by letting an LLM choose analyses while code computes every number.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Designed conformal accept and abstain thresholds that bound the error rate on accepted labels, giving every label a calibrated 0–100 confidence.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MyStage Music Inc.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03/2025 - 06/2026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Founding AI/ML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Remote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Lifted dataset accuracy 25% with Gemini entity resolution, scored by LLM-as-judge, over 70,000+ records a day.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09/2023 - 05/2025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Gated every prompt release on Prompt Flow LLM-as-judge evals for groundedness, relevance and coherence.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08/2024 - 05/2025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Student Researcher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PyTorch and Diffusers benchmark for text-to-video models that scores physical plausibility separately from visual quality, holding seed, resolution and sampler fixed.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Found visual quality barely predicts physical plausibility: the top model by human preference ranked last on causal consistency.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Knowledge Exchange for Resilience,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06/2024 - 08/2024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Data Research Aide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FastAPI and pgvector collaborator recommender achieving 85% top-k precision in evaluation.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Lifted search relevance 15% over baseline with an n-gram ranking model over cleaned researcher-profile text.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Zeus Learning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01/2022 - 07/2023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Mumbai, India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desk-demand forecasting model on historical occupancy by floor, day and team, served from Redis to 300+ offices; reported occupancy improved 30%.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PROJECTS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Soccer Result Prediction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10/2023 - 12/2023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Lifted match-outcome accuracy 12% by ensembling LSTM and XGBoost over rolling-window form features, with a time-based split that prevents leakage.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TECHNICAL SKILLS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Languages &amp; Libraries: </w:t>
      </w:r>
      <w:r>
        <w:rPr>
          <w:rFonts w:ascii="Lato" w:hAnsi="Lato" w:cs="Lato"/>
          <w:sz w:val="21"/>
          <w:szCs w:val="21"/>
          <w:color w:val="111111"/>
        </w:rPr>
        <w:t xml:space="preserve">Python, SQL, pandas, NumPy, scikit-learn, XGBoost, SciPy, statsmodels, PyTorch, TensorFlow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Statistics: </w:t>
      </w:r>
      <w:r>
        <w:rPr>
          <w:rFonts w:ascii="Lato" w:hAnsi="Lato" w:cs="Lato"/>
          <w:sz w:val="21"/>
          <w:szCs w:val="21"/>
          <w:color w:val="111111"/>
        </w:rPr>
        <w:t xml:space="preserve">Hypothesis testing, A/B testing, experiment design, causal inference, regression, calibration, conformal prediction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Machine Learning: </w:t>
      </w:r>
      <w:r>
        <w:rPr>
          <w:rFonts w:ascii="Lato" w:hAnsi="Lato" w:cs="Lato"/>
          <w:sz w:val="21"/>
          <w:szCs w:val="21"/>
          <w:color w:val="111111"/>
        </w:rPr>
        <w:t xml:space="preserve">Classification, NLP, embeddings, clustering, recommendation, time series, forecasting, deep learning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Evaluation &amp; Visualization: </w:t>
      </w:r>
      <w:r>
        <w:rPr>
          <w:rFonts w:ascii="Lato" w:hAnsi="Lato" w:cs="Lato"/>
          <w:sz w:val="21"/>
          <w:szCs w:val="21"/>
          <w:color w:val="111111"/>
        </w:rPr>
        <w:t xml:space="preserve">Model evaluation, log loss, F1, precision@k, inter-rater agreement, LLM evals, Plotly, D3, Vega-Lite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EDUCATION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Arizona State University (ASU)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08/2023 - 05/2025</w:t>
      </w:r>
    </w:p>
    <w:p>
      <w:pPr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M.S., Computer Science | GPA: 4.0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Tempe, AZ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Dhirubhai Ambani Institute of Information and Communication Technology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08/2018 - 05/2022</w:t>
      </w:r>
    </w:p>
    <w:p>
      <w:pPr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B.Tech., Information and Communication Technology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Gandhinagar, India</w:t>
      </w:r>
    </w:p>
    <w:sectPr>
      <w:pgSz w:w="12240" w:h="15840"/>
      <w:pgMar w:top="720" w:right="792" w:bottom="720" w:left="792" w:header="0" w:footer="0" w:gutter="0"/>
    </w:sectPr>
  </w:body>
</w:document>
</file>

<file path=word/fontTable.xml><?xml version="1.0" encoding="utf-8"?>
<w:fonts xmlns:w="http://schemas.openxmlformats.org/wordprocessingml/2006/main">
  <w:font w:name="Lato">
    <w:panose1 w:val="020F0502020204030203"/>
    <w:charset w:val="00"/>
    <w:family w:val="swiss"/>
    <w:pitch w:val="variable"/>
  </w:font>
</w:font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/Relationships>
</file>