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0"/>
          <w:szCs w:val="30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Own architecture and delivery of an AI analytics platform for any structured dataset on AWS Bedrock and Step Functions, with cited answers and deterministic calculations.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Validated 25 statistical tests and six causal estimators against SciPy and statsmodels; achieved 68% on StatQA test selection.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Improved accuracy from 60% to 93% on the hardest benchmark questions by consolidating column definitions in a shared semantic layer.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Cut incorrect answers 85% in an evaluation against 164 published benchmark figures by adding answer verification before display.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Increased recovery of reference headline findings from 13% to 52–59% on held-out datasets using LLM-selected analyses and deterministic calculations.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Measured labeling F1 changes of 0.230 across models versus 0.007 across pipeline designs, prioritizing reliability improvements over orchestration complexity.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Designed a chart recommender covering 17 chart types, retaining deterministic rules when LLM proposals failed to improve evaluation scores.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07/2025 - 06/2026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Remote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Consolidated a 14-Cloud-Function backend into a checkpointed Python/LangGraph workflow on GCP Cloud Run, reducing production service dependencies 64%.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FastAPI and Algolia search with sub-50 ms latency, real-time Firestore synchronization, 200+ pytest tests and Logfire tracing.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Scaled ingestion to 70,000+ records daily from 650+ venues using Playwright, transactional locking and entity resolution.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Implemented checkpointed pause-and-resume so records missing context wait for additional information without failing the ingestion batch.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Established Prompt Flow release checks for groundedness, relevance and coherence, evaluating prompt changes against measured results before deployment.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Added hybrid keyword and vector retrieval to resolve exact course codes alongside semantic document search.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 multi-tenant course assistant from React UI to retrieval services, used by 1,000+ faculty creating courses for 60,000+ students.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Compared fixed-size and section-aware chunking on course documents to preserve complete policy passages in retrieved results.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Reduced transcript-analysis time from four hours to 15 minutes using a Neo4j knowledge graph and validated Cypher queries.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Arizona State University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08/2024 - 05/2025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Student Researcher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 PyTorch and Diffusers benchmark for text-to-video models that scores physical plausibility separately from visual quality, holding seed, resolution and sampler fixed.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Found visual quality barely predicts physical plausibility: the top model by human preference ranked last on causal consistency.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Designed a frame-level rubric for rigid-body motion, gravity, momentum and occlusion, and measured inter-rater agreement before trusting any aggregate score.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Derived a failure taxonomy from annotated clips: broken object permanence, non-conserved mass, teleporting contact and physics that resets at a scene cut.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Reduced p95 retrieval latency 60% at 95% recall using hybrid FAISS and Neo4j search.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 FastAPI and pgvector collaborator recommender achieving 85% top-k precision in evaluation.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Mumbai,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Reduced deployment time 70% and production incidents 40% through containerized CI/CD and SonarQube quality gates.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DA-IICT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05/2021 - 08/2021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Computer Vision Researcher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Gandhinagar,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Engineered an autonomous-driving perception stack in Python: radar and lidar capture, timestamp alignment, extrinsic calibration and point-cloud processing, with a replay harness over recorded drives.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Compared early and late sensor fusion on identical sequences, showing point-level merging keeps detail but inherits both sensors' noise while object-level merging is robust but discards evidence.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AiJockey – AI DJ Pipeline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2025 - Present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 PyTorch/FastAPI audio pipeline with stem separation, LLM transition planning and 25+ DSP transitions; ported inference to AMD MI300X.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Trained a MERT-95M reward head to score audio segments across four aesthetic dimensions for candidate selection.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Implemented DPO, KTO and IPO preference-training variants; reduced DPO training loss from 0.68 to 0.47 on labeled pairs.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TECHNICAL SKILLS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Languages &amp; Models: </w:t>
      </w:r>
      <w:r>
        <w:rPr>
          <w:rFonts w:ascii="Lato" w:hAnsi="Lato" w:cs="Lato"/>
          <w:sz w:val="22"/>
          <w:szCs w:val="22"/>
          <w:color w:val="111111"/>
        </w:rPr>
        <w:t xml:space="preserve">Python, SQL, PyTorch, Diffusers, NumPy, SciPy, statsmodels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Retrieval &amp; Evaluation: </w:t>
      </w:r>
      <w:r>
        <w:rPr>
          <w:rFonts w:ascii="Lato" w:hAnsi="Lato" w:cs="Lato"/>
          <w:sz w:val="22"/>
          <w:szCs w:val="22"/>
          <w:color w:val="111111"/>
        </w:rPr>
        <w:t xml:space="preserve">FAISS, pgvector, Neo4j, RAG, LLM evaluation, LangGraph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Serving &amp; Cloud: </w:t>
      </w:r>
      <w:r>
        <w:rPr>
          <w:rFonts w:ascii="Lato" w:hAnsi="Lato" w:cs="Lato"/>
          <w:sz w:val="22"/>
          <w:szCs w:val="22"/>
          <w:color w:val="111111"/>
        </w:rPr>
        <w:t xml:space="preserve">FastAPI, AWS Bedrock, GCP Cloud Run, Docker, pytest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Tempe, AZ, USA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India</w:t>
      </w:r>
    </w:p>
    <w:sectPr>
      <w:pgSz w:w="12240" w:h="15840"/>
      <w:pgMar w:top="720" w:right="792" w:bottom="720" w:left="792" w:header="0" w:footer="0" w:gutter="0"/>
    </w:sectPr>
  </w:body>
</w:document>
</file>