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Notice of First Meeting of Committee of Creditors</w:t>
      </w:r>
    </w:p>
    <w:p w:rsidR="00000000" w:rsidDel="00000000" w:rsidP="00000000" w:rsidRDefault="00000000" w:rsidRPr="00000000" w14:paraId="00000002">
      <w:pPr>
        <w:spacing w:after="1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03">
      <w:pPr>
        <w:spacing w:after="1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Mahakali Foods Private Limited</w:t>
      </w:r>
    </w:p>
    <w:p w:rsidR="00000000" w:rsidDel="00000000" w:rsidP="00000000" w:rsidRDefault="00000000" w:rsidRPr="00000000" w14:paraId="00000004">
      <w:pPr>
        <w:spacing w:after="1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Corporate Insolvency Resolution Process)</w:t>
      </w:r>
    </w:p>
    <w:p w:rsidR="00000000" w:rsidDel="00000000" w:rsidP="00000000" w:rsidRDefault="00000000" w:rsidRPr="00000000" w14:paraId="00000005">
      <w:pPr>
        <w:spacing w:after="1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Notice along with Agenda, Notes to Agenda, resolutions which are proposed to be passed in the meeting and the explanatory statements to the said resolutions for the First Meeting of the Committee of Creditors of Mahakali Foods Private Limited (under Corporate Insolvency Resolution Process) under the provisions of the Insolvency and Bankruptcy Code, 2016 read with Insolvency and Bankruptcy Board of India (Insolvency Resolution Process for Corporate Persons) Regulations, 2016.</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hAnsi="Times New Roman"/>
          <w:sz w:val="21"/>
          <w:rtl w:val="0"/>
        </w:rPr>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07">
      <w:pPr>
        <w:spacing w:after="140" w:lineRule="auto"/>
        <w:jc w:val="center"/>
        <w:rPr>
          <w:rFonts w:ascii="Times New Roman" w:cs="Times New Roman" w:eastAsia="Times New Roman" w:hAnsi="Times New Roman"/>
          <w:color w:val="244061"/>
          <w:sz w:val="24"/>
          <w:szCs w:val="24"/>
        </w:rPr>
      </w:pPr>
      <w:r>
        <w:rPr>
          <w:rFonts w:ascii="Times New Roman" w:cs="Times New Roman" w:eastAsia="Times New Roman" w:hAnsi="Times New Roman"/>
          <w:color w:val="244061"/>
          <w:sz w:val="24"/>
          <w:szCs w:val="24"/>
          <w:rtl w:val="0"/>
        </w:rPr>
        <w:t>Day &amp; Date: Tuesday, September 15, 2026</w:t>
      </w:r>
    </w:p>
    <w:p w:rsidR="00000000" w:rsidDel="00000000" w:rsidP="00000000" w:rsidRDefault="00000000" w:rsidRPr="00000000" w14:paraId="00000008">
      <w:pPr>
        <w:spacing w:after="140" w:lineRule="auto"/>
        <w:jc w:val="center"/>
        <w:rPr>
          <w:rFonts w:ascii="Times New Roman" w:cs="Times New Roman" w:eastAsia="Times New Roman" w:hAnsi="Times New Roman"/>
          <w:color w:val="244061"/>
          <w:sz w:val="24"/>
          <w:szCs w:val="24"/>
        </w:rPr>
      </w:pPr>
      <w:r>
        <w:rPr>
          <w:rFonts w:ascii="Times New Roman" w:cs="Times New Roman" w:eastAsia="Times New Roman" w:hAnsi="Times New Roman"/>
          <w:color w:val="244061"/>
          <w:sz w:val="24"/>
          <w:szCs w:val="24"/>
          <w:rtl w:val="0"/>
        </w:rPr>
        <w:t>Time: 03:30 PM</w:t>
      </w:r>
    </w:p>
    <w:p w:rsidR="00000000" w:rsidDel="00000000" w:rsidP="00000000" w:rsidRDefault="00000000" w:rsidRPr="00000000" w14:paraId="00000009">
      <w:pPr>
        <w:spacing w:after="140" w:lineRule="auto"/>
        <w:jc w:val="center"/>
        <w:rPr>
          <w:rFonts w:ascii="Times New Roman" w:cs="Times New Roman" w:eastAsia="Times New Roman" w:hAnsi="Times New Roman"/>
          <w:color w:val="244061"/>
          <w:sz w:val="24"/>
          <w:szCs w:val="24"/>
        </w:rPr>
      </w:pPr>
      <w:r>
        <w:rPr>
          <w:rFonts w:ascii="Times New Roman" w:cs="Times New Roman" w:eastAsia="Times New Roman" w:hAnsi="Times New Roman"/>
          <w:color w:val="244061"/>
          <w:sz w:val="24"/>
          <w:szCs w:val="24"/>
          <w:rtl w:val="0"/>
        </w:rPr>
        <w:t>Mode: Hybrid</w:t>
      </w:r>
    </w:p>
    <w:p w:rsidR="00000000" w:rsidDel="00000000" w:rsidP="00000000" w:rsidRDefault="00000000" w:rsidRPr="00000000" w14:paraId="0000000A">
      <w:pPr>
        <w:spacing w:after="140" w:lineRule="auto"/>
        <w:jc w:val="center"/>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0B">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Please note that the link for joining meeting along with its instructions shall be sent separately via email.</w:t>
      </w:r>
    </w:p>
    <w:p w:rsidR="00000000" w:rsidDel="00000000" w:rsidP="00000000" w:rsidRDefault="00000000" w:rsidRPr="00000000" w14:paraId="0000000C">
      <w:pP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Date: 09-09-2026</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Place: Indore (M.P.)</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11">
      <w:pPr>
        <w:tabs>
          <w:tab w:val="left" w:leader="none" w:pos="4389"/>
        </w:tabs>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12">
      <w:pPr>
        <w:spacing w:after="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Notice of First Meeting of Committee of Creditors</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14">
      <w:pPr>
        <w:spacing w:after="1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Mahakali Foods Private Limited</w:t>
      </w:r>
    </w:p>
    <w:p w:rsidR="00000000" w:rsidDel="00000000" w:rsidP="00000000" w:rsidRDefault="00000000" w:rsidRPr="00000000" w14:paraId="00000015">
      <w:pPr>
        <w:ind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(Under Corporate Insolvency Resolution Process)</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Times New Roman" w:cs="Cambria" w:eastAsia="Cambria" w:hAnsi="Times New Roman"/>
          <w:b w:val="1"/>
          <w:bCs w:val="1"/>
          <w:i w:val="0"/>
          <w:iCs w:val="0"/>
          <w:smallCaps w:val="0"/>
          <w:strike w:val="0"/>
          <w:color w:val="366091"/>
          <w:sz w:val="28"/>
          <w:szCs w:val="28"/>
          <w:u w:val="none"/>
          <w:shd w:fill="auto" w:val="clear"/>
          <w:vertAlign w:val="baseline"/>
          <w:rtl w:val="0"/>
        </w:rPr>
        <w:t xml:space="preserve">Table of Contents</w:t>
      </w:r>
    </w:p>
    <w:sdt>
      <w:sdtPr>
        <w:id w:val="-1329184620"/>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wb4kiqb6za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Notice of First Meeting of Committee of Creditors</w:t>
            </w:r>
          </w:hyperlink>
          <w:hyperlink w:anchor="_pwb4kiqb6za5">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9ezru10uiuk">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Parties to whom Notice Served</w:t>
            </w:r>
          </w:hyperlink>
          <w:hyperlink w:anchor="_89ezru10uiu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10zj7e7zbpm">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Agenda for the meeting</w:t>
            </w:r>
          </w:hyperlink>
          <w:hyperlink w:anchor="_b10zj7e7zbp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x5n5f15yc6q">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List of the matters to be discussed at the meeting</w:t>
            </w:r>
          </w:hyperlink>
          <w:hyperlink w:anchor="_tx5n5f15yc6q">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vsnjzt8sleu">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List of the issues to be voted upon at the meeting</w:t>
            </w:r>
          </w:hyperlink>
          <w:hyperlink w:anchor="_5vsnjzt8sle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yedranuhrb">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Instructions For E-Voting</w:t>
            </w:r>
          </w:hyperlink>
          <w:hyperlink w:anchor="_ayedranuhr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65j3mik1w9a">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Notes to Agenda</w:t>
            </w:r>
          </w:hyperlink>
          <w:hyperlink w:anchor="_d65j3mik1w9a">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21">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pwb4kiqb6za5" w:id="0"/>
      <w:bookmarkEnd w:id="0"/>
      <w:r w:rsidDel="00000000" w:rsidR="00000000" w:rsidRPr="00000000">
        <w:rPr>
          <w:rFonts w:ascii="Times New Roman" w:cs="Times New Roman" w:eastAsia="Times New Roman" w:hAnsi="Times New Roman"/>
          <w:color w:val="17365d"/>
          <w:sz w:val="28"/>
          <w:szCs w:val="28"/>
          <w:u w:val="single"/>
          <w:rtl w:val="0"/>
        </w:rPr>
        <w:t xml:space="preserve">Notice of First Meeting of Committee of Creditors</w:t>
      </w:r>
    </w:p>
    <w:p w:rsidR="00000000" w:rsidDel="00000000" w:rsidP="00000000" w:rsidRDefault="00000000" w:rsidRPr="00000000" w14:paraId="00000022">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Of</w:t>
      </w:r>
    </w:p>
    <w:p w:rsidR="00000000" w:rsidDel="00000000" w:rsidP="00000000" w:rsidRDefault="00000000" w:rsidRPr="00000000" w14:paraId="00000023">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Mahakali Foods Private Limited</w:t>
      </w:r>
    </w:p>
    <w:p w:rsidR="00000000" w:rsidDel="00000000" w:rsidP="00000000" w:rsidRDefault="00000000" w:rsidRPr="00000000" w14:paraId="00000024">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 (Under Corporate Insolvency Resolution Process)</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NOTICE is hereby given that in accordance with the provisions of regulation 18, 19, 20 of The Insolvency and Bankruptcy Board of India (Insolvency Resolution Process for Corporate Persons) Regulations, 2016, the first meeting of COC of Mahakali Foods Private Limited will be held on Tuesday, September 15, 2026 at 03:30 PM to transact the following business as specified in the enclosed Agenda.</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The participants may also attend the Meeting through video conferencing or other audio and visual means. Any participant intending to attend the Meeting through such means, is requested to give us prior written intimation at cirp.qa@example.test, of your intention to attend the Meeting through such means, along with the relevant details of the location, login details etc., at least 48 (forty-eight)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Regulation 21(2) of the Regulations a member of the CoC may attend the Meeting either in person or through an authorised representative. A member of the CoC attending through an authorised representative, shall inform us at least [48 (forty-eight) hours] in advance, of the identity of the authorised representative who will attend and vote at the Meeting on its behalf. The authorised representative is requested to carry an Identity Card for its identification. Kindly note that each member of the CoC (other than creditors under Section 21 (6A) (b) of the Insolvency and Bankruptcy Code, 2016) must be represented in the CoC by such persons who are competent and are authorised to take decisions on the spot and without deferring decisions for want of any internal approval from the financial creditors.</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Proviso to Section 21(2) of the Insolvency and Bankruptcy Code, 2016, a related party to whom the Corporate Debtor owes a financial debt shall not have any right to representation, participation and voting in Meeting of CoC.</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Kindly make it convenient to attend the Meeting.</w:t>
      </w:r>
    </w:p>
    <w:p w:rsidR="00000000" w:rsidDel="00000000" w:rsidP="00000000" w:rsidRDefault="00000000" w:rsidRPr="00000000" w14:paraId="000000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p w:rsidR="00000000" w:rsidDel="00000000" w:rsidP="00000000" w:rsidRDefault="00000000" w:rsidRPr="00000000" w14:paraId="0000002F">
      <w:pPr>
        <w:spacing w:after="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Arjun Mehta</w:t>
      </w:r>
    </w:p>
    <w:p w:rsidR="00000000" w:rsidDel="00000000" w:rsidP="00000000" w:rsidRDefault="00000000" w:rsidRPr="00000000" w14:paraId="0000003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IRP of Mahakali Foods Private Limited </w:t>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Corporate Debtor under CIRP pursuant to NCLT order dated 31-07-2026)</w:t>
      </w:r>
    </w:p>
    <w:p w:rsidR="00000000" w:rsidDel="00000000" w:rsidP="00000000" w:rsidRDefault="00000000" w:rsidRPr="00000000" w14:paraId="00000032">
      <w:pPr>
        <w:spacing w:after="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Reg No: IBBI/IPA-1/P00000/2026-2027/10000</w:t>
      </w:r>
    </w:p>
    <w:p w:rsidR="00000000" w:rsidDel="00000000" w:rsidP="00000000" w:rsidRDefault="00000000" w:rsidRPr="00000000" w14:paraId="00000033">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AFA Valid: not recorded</w:t>
      </w:r>
    </w:p>
    <w:p w:rsidR="00000000" w:rsidDel="00000000" w:rsidP="00000000" w:rsidRDefault="00000000" w:rsidRPr="00000000" w14:paraId="00000034">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Email ID: cirp.qa@example.test</w:t>
      </w:r>
    </w:p>
    <w:p w:rsidR="00000000" w:rsidDel="00000000" w:rsidP="00000000" w:rsidRDefault="00000000" w:rsidRPr="00000000" w14:paraId="00000035">
      <w:pPr>
        <w:spacing w:after="0" w:lineRule="auto"/>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sz w:val="24"/>
          <w:szCs w:val="24"/>
          <w:rtl w:val="0"/>
        </w:rPr>
        <w:t>Registered with IBBI: cirp.qa@example.test</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38">
      <w:pPr>
        <w:pStyle w:val="Heading1"/>
        <w:spacing w:line="360" w:lineRule="auto"/>
        <w:ind w:left="562" w:firstLine="0"/>
        <w:jc w:val="center"/>
        <w:rPr>
          <w:rFonts w:ascii="Times New Roman" w:cs="Times New Roman" w:eastAsia="Times New Roman" w:hAnsi="Times New Roman"/>
          <w:color w:val="17365d"/>
          <w:sz w:val="28"/>
          <w:szCs w:val="28"/>
          <w:u w:val="single"/>
        </w:rPr>
      </w:pPr>
      <w:r w:rsidDel="00000000" w:rsidR="00000000" w:rsidRPr="00000000">
        <w:rPr>
          <w:rFonts w:ascii="Times New Roman" w:hAnsi="Times New Roman"/>
          <w:sz w:val="21"/>
          <w:rtl w:val="0"/>
        </w:rPr>
      </w:r>
    </w:p>
    <w:p w:rsidR="00000000" w:rsidDel="00000000" w:rsidP="00000000" w:rsidRDefault="00000000" w:rsidRPr="00000000" w14:paraId="00000039">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89ezru10uiuk" w:id="1"/>
      <w:bookmarkEnd w:id="1"/>
      <w:r w:rsidDel="00000000" w:rsidR="00000000" w:rsidRPr="00000000">
        <w:rPr>
          <w:rFonts w:ascii="Times New Roman" w:cs="Times New Roman" w:eastAsia="Times New Roman" w:hAnsi="Times New Roman"/>
          <w:color w:val="17365d"/>
          <w:sz w:val="28"/>
          <w:szCs w:val="28"/>
          <w:u w:val="single"/>
          <w:rtl w:val="0"/>
        </w:rPr>
        <w:t xml:space="preserve">Parties to whom Notice Served</w:t>
      </w:r>
    </w:p>
    <w:p w:rsidR="00000000" w:rsidDel="00000000" w:rsidP="00000000" w:rsidRDefault="00000000" w:rsidRPr="00000000" w14:paraId="0000003A">
      <w:pPr>
        <w:ind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Notice along with all enclosures sent through e-mail, to the following: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of CoC comprising of Financial Creditors to whom the notice of this meeting served</w:t>
      </w:r>
    </w:p>
    <w:tbl>
      <w:tblPr>
        <w:tblStyle w:val="Table1"/>
        <w:tblW w:w="93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
        <w:gridCol w:w="2091"/>
        <w:gridCol w:w="1776"/>
        <w:gridCol w:w="1324"/>
        <w:gridCol w:w="3380"/>
        <w:tblGridChange w:id="0">
          <w:tblGrid>
            <w:gridCol w:w="807"/>
            <w:gridCol w:w="2091"/>
            <w:gridCol w:w="1776"/>
            <w:gridCol w:w="1324"/>
            <w:gridCol w:w="3380"/>
          </w:tblGrid>
        </w:tblGridChange>
      </w:tblGrid>
      <w:tr>
        <w:trPr>
          <w:cantSplit w:val="0"/>
          <w:tblHeader w:val="0"/>
        </w:trPr>
        <w:tc>
          <w:tcPr>
            <w:shd w:fill="daeef3" w:val="clear"/>
            <w:vAlign w:val="center"/>
          </w:tcPr>
          <w:p>
            <w:r>
              <w:rPr>
                <w:rFonts w:ascii="Times New Roman" w:hAnsi="Times New Roman"/>
                <w:sz w:val="18"/>
              </w:rPr>
              <w:t>S. No.</w:t>
            </w:r>
          </w:p>
        </w:tc>
        <w:tc>
          <w:tcPr>
            <w:shd w:fill="daeef3" w:val="clear"/>
            <w:vAlign w:val="center"/>
          </w:tcPr>
          <w:p>
            <w:r>
              <w:rPr>
                <w:rFonts w:ascii="Times New Roman" w:hAnsi="Times New Roman"/>
                <w:sz w:val="18"/>
              </w:rPr>
              <w:t>Name of the Creditors</w:t>
            </w:r>
          </w:p>
        </w:tc>
        <w:tc>
          <w:tcPr>
            <w:shd w:fill="daeef3" w:val="clear"/>
            <w:vAlign w:val="center"/>
          </w:tcPr>
          <w:p>
            <w:r>
              <w:rPr>
                <w:rFonts w:ascii="Times New Roman" w:hAnsi="Times New Roman"/>
                <w:sz w:val="18"/>
              </w:rPr>
              <w:t>Claim Admitted (₹)</w:t>
            </w:r>
          </w:p>
        </w:tc>
        <w:tc>
          <w:tcPr>
            <w:shd w:fill="daeef3" w:val="clear"/>
            <w:vAlign w:val="center"/>
          </w:tcPr>
          <w:p>
            <w:r>
              <w:rPr>
                <w:rFonts w:ascii="Times New Roman" w:hAnsi="Times New Roman"/>
                <w:sz w:val="18"/>
              </w:rPr>
              <w:t>% of claim in CoC</w:t>
            </w:r>
          </w:p>
        </w:tc>
        <w:tc>
          <w:tcPr>
            <w:shd w:fill="daeef3" w:val="clear"/>
            <w:vAlign w:val="center"/>
          </w:tcPr>
          <w:p>
            <w:r>
              <w:rPr>
                <w:rFonts w:ascii="Times New Roman" w:hAnsi="Times New Roman"/>
                <w:sz w:val="18"/>
              </w:rPr>
              <w:t>Email ID</w:t>
            </w:r>
          </w:p>
        </w:tc>
      </w:tr>
      <w:tr>
        <w:tc>
          <w:tcPr>
            <w:tcW w:type="dxa" w:w="807"/>
            <w:vAlign w:val="center"/>
          </w:tcPr>
          <w:p>
            <w:r>
              <w:rPr>
                <w:rFonts w:ascii="Times New Roman" w:hAnsi="Times New Roman"/>
                <w:sz w:val="18"/>
              </w:rPr>
              <w:t>1</w:t>
            </w:r>
          </w:p>
        </w:tc>
        <w:tc>
          <w:tcPr>
            <w:tcW w:type="dxa" w:w="2091"/>
            <w:vAlign w:val="center"/>
          </w:tcPr>
          <w:p>
            <w:r>
              <w:rPr>
                <w:rFonts w:ascii="Times New Roman" w:hAnsi="Times New Roman"/>
                <w:sz w:val="18"/>
              </w:rPr>
              <w:t>National Commercial Bank</w:t>
            </w:r>
          </w:p>
        </w:tc>
        <w:tc>
          <w:tcPr>
            <w:tcW w:type="dxa" w:w="1776"/>
            <w:vAlign w:val="center"/>
          </w:tcPr>
          <w:p>
            <w:r>
              <w:rPr>
                <w:rFonts w:ascii="Times New Roman" w:hAnsi="Times New Roman"/>
                <w:sz w:val="18"/>
              </w:rPr>
              <w:t>12,500,000.00</w:t>
            </w:r>
          </w:p>
        </w:tc>
        <w:tc>
          <w:tcPr>
            <w:tcW w:type="dxa" w:w="1324"/>
            <w:vAlign w:val="center"/>
          </w:tcPr>
          <w:p>
            <w:r>
              <w:rPr>
                <w:rFonts w:ascii="Times New Roman" w:hAnsi="Times New Roman"/>
                <w:sz w:val="18"/>
              </w:rPr>
              <w:t>62.5000%</w:t>
            </w:r>
          </w:p>
        </w:tc>
        <w:tc>
          <w:tcPr>
            <w:tcW w:type="dxa" w:w="3380"/>
            <w:vAlign w:val="center"/>
          </w:tcPr>
          <w:p>
            <w:r>
              <w:rPr>
                <w:rFonts w:ascii="Times New Roman" w:hAnsi="Times New Roman"/>
                <w:sz w:val="18"/>
              </w:rPr>
              <w:t>coc.one@example.test</w:t>
            </w:r>
          </w:p>
        </w:tc>
      </w:tr>
      <w:tr>
        <w:tc>
          <w:tcPr>
            <w:tcW w:type="dxa" w:w="807"/>
            <w:vAlign w:val="center"/>
          </w:tcPr>
          <w:p>
            <w:r>
              <w:rPr>
                <w:rFonts w:ascii="Times New Roman" w:hAnsi="Times New Roman"/>
                <w:sz w:val="18"/>
              </w:rPr>
              <w:t>2</w:t>
            </w:r>
          </w:p>
        </w:tc>
        <w:tc>
          <w:tcPr>
            <w:tcW w:type="dxa" w:w="2091"/>
            <w:vAlign w:val="center"/>
          </w:tcPr>
          <w:p>
            <w:r>
              <w:rPr>
                <w:rFonts w:ascii="Times New Roman" w:hAnsi="Times New Roman"/>
                <w:sz w:val="18"/>
              </w:rPr>
              <w:t>Trade Creditors Association</w:t>
            </w:r>
          </w:p>
        </w:tc>
        <w:tc>
          <w:tcPr>
            <w:tcW w:type="dxa" w:w="1776"/>
            <w:vAlign w:val="center"/>
          </w:tcPr>
          <w:p>
            <w:r>
              <w:rPr>
                <w:rFonts w:ascii="Times New Roman" w:hAnsi="Times New Roman"/>
                <w:sz w:val="18"/>
              </w:rPr>
              <w:t>4,850,000.00</w:t>
            </w:r>
          </w:p>
        </w:tc>
        <w:tc>
          <w:tcPr>
            <w:tcW w:type="dxa" w:w="1324"/>
            <w:vAlign w:val="center"/>
          </w:tcPr>
          <w:p>
            <w:r>
              <w:rPr>
                <w:rFonts w:ascii="Times New Roman" w:hAnsi="Times New Roman"/>
                <w:sz w:val="18"/>
              </w:rPr>
              <w:t>24.2500%</w:t>
            </w:r>
          </w:p>
        </w:tc>
        <w:tc>
          <w:tcPr>
            <w:tcW w:type="dxa" w:w="3380"/>
            <w:vAlign w:val="center"/>
          </w:tcPr>
          <w:p>
            <w:r>
              <w:rPr>
                <w:rFonts w:ascii="Times New Roman" w:hAnsi="Times New Roman"/>
                <w:sz w:val="18"/>
              </w:rPr>
              <w:t>coc.two@example.test</w:t>
            </w:r>
          </w:p>
        </w:tc>
      </w:tr>
    </w:tbl>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Members of Suspended Board of Directors of Mahakali Foods Private Limited (Corporate Debtor)</w:t>
      </w:r>
    </w:p>
    <w:tbl>
      <w:tblPr>
        <w:tblStyle w:val="Table2"/>
        <w:tblW w:w="9198.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
        <w:gridCol w:w="3941"/>
        <w:gridCol w:w="4554"/>
        <w:tblGridChange w:id="0">
          <w:tblGrid>
            <w:gridCol w:w="703"/>
            <w:gridCol w:w="3941"/>
            <w:gridCol w:w="4554"/>
          </w:tblGrid>
        </w:tblGridChange>
      </w:tblGrid>
      <w:tr>
        <w:trPr>
          <w:cantSplit w:val="0"/>
          <w:trHeight w:val="413" w:hRule="atLeast"/>
          <w:tblHeader w:val="0"/>
        </w:trPr>
        <w:tc>
          <w:tcPr>
            <w:shd w:fill="c6d9f1" w:val="clear"/>
            <w:vAlign w:val="center"/>
          </w:tcPr>
          <w:p w:rsidR="00000000" w:rsidDel="00000000" w:rsidP="00000000" w:rsidRDefault="00000000" w:rsidRPr="00000000" w14:paraId="00000053">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S.No</w:t>
            </w:r>
          </w:p>
        </w:tc>
        <w:tc>
          <w:tcPr>
            <w:shd w:fill="c6d9f1" w:val="clear"/>
            <w:vAlign w:val="center"/>
          </w:tcPr>
          <w:p w:rsidR="00000000" w:rsidDel="00000000" w:rsidP="00000000" w:rsidRDefault="00000000" w:rsidRPr="00000000" w14:paraId="0000005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Name of Suspended Director &amp; Compliance Officer </w:t>
            </w:r>
          </w:p>
        </w:tc>
        <w:tc>
          <w:tcPr>
            <w:shd w:fill="c6d9f1" w:val="clear"/>
            <w:vAlign w:val="center"/>
          </w:tcPr>
          <w:p w:rsidR="00000000" w:rsidDel="00000000" w:rsidP="00000000" w:rsidRDefault="00000000" w:rsidRPr="00000000" w14:paraId="0000005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Email</w:t>
            </w:r>
          </w:p>
        </w:tc>
      </w:tr>
      <w:tr>
        <w:trPr>
          <w:cantSplit w:val="0"/>
          <w:trHeight w:val="422" w:hRule="atLeast"/>
          <w:tblHeader w:val="0"/>
        </w:trPr>
        <w:tc>
          <w:tcPr>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w:t>
            </w:r>
          </w:p>
        </w:tc>
        <w:tc>
          <w:tcPr>
            <w:vAlign w:val="center"/>
          </w:tcPr>
          <w:p w:rsidR="00000000" w:rsidDel="00000000" w:rsidP="00000000" w:rsidRDefault="00000000" w:rsidRPr="00000000" w14:paraId="00000057">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Rohan Verma</w:t>
            </w:r>
          </w:p>
        </w:tc>
        <w:tc>
          <w:tcPr>
            <w:vMerge w:val="restart"/>
            <w:vAlign w:val="center"/>
          </w:tcPr>
          <w:p w:rsidR="00000000" w:rsidDel="00000000" w:rsidP="00000000" w:rsidRDefault="00000000" w:rsidRPr="00000000" w14:paraId="00000058">
            <w:pPr>
              <w:rPr>
                <w:rFonts w:ascii="Times New Roman" w:cs="Times New Roman" w:eastAsia="Times New Roman" w:hAnsi="Times New Roman"/>
                <w:color w:val="0000ff"/>
                <w:sz w:val="26"/>
                <w:szCs w:val="26"/>
                <w:u w:val="single"/>
              </w:rPr>
            </w:pPr>
            <w:r>
              <w:rPr>
                <w:rFonts w:ascii="Times New Roman" w:cs="Times New Roman" w:eastAsia="Times New Roman" w:hAnsi="Times New Roman"/>
                <w:color w:val="0000ff"/>
                <w:sz w:val="26"/>
                <w:szCs w:val="26"/>
                <w:u w:val="single"/>
                <w:rtl w:val="0"/>
              </w:rPr>
              <w:t>director.qa@example.test</w:t>
            </w:r>
          </w:p>
        </w:tc>
      </w:tr>
    </w:tbl>
    <w:p w:rsidR="00000000" w:rsidDel="00000000" w:rsidP="00000000" w:rsidRDefault="00000000" w:rsidRPr="00000000" w14:paraId="0000005D">
      <w:pPr>
        <w:pStyle w:val="Heading1"/>
        <w:spacing w:line="360" w:lineRule="auto"/>
        <w:ind w:left="0" w:firstLine="0"/>
        <w:rPr>
          <w:rFonts w:ascii="Times New Roman" w:cs="Times New Roman" w:eastAsia="Times New Roman" w:hAnsi="Times New Roman"/>
          <w:color w:val="17365d"/>
          <w:sz w:val="28"/>
          <w:szCs w:val="28"/>
          <w:u w:val="single"/>
        </w:rPr>
      </w:pPr>
      <w:r w:rsidDel="00000000" w:rsidR="00000000" w:rsidRPr="00000000">
        <w:rPr>
          <w:rFonts w:ascii="Times New Roman" w:hAnsi="Times New Roman"/>
          <w:sz w:val="21"/>
          <w:rtl w:val="0"/>
        </w:rPr>
      </w:r>
    </w:p>
    <w:p w:rsidR="00000000" w:rsidDel="00000000" w:rsidP="00000000" w:rsidRDefault="00000000" w:rsidRPr="00000000" w14:paraId="0000005E">
      <w:pPr>
        <w:pStyle w:val="Heading1"/>
        <w:spacing w:line="360" w:lineRule="auto"/>
        <w:ind w:left="0" w:firstLine="0"/>
        <w:rPr>
          <w:rFonts w:ascii="Times New Roman" w:cs="Times New Roman" w:eastAsia="Times New Roman" w:hAnsi="Times New Roman"/>
          <w:color w:val="17365d"/>
          <w:sz w:val="28"/>
          <w:szCs w:val="28"/>
          <w:u w:val="single"/>
        </w:rPr>
      </w:pPr>
      <w:r w:rsidDel="00000000" w:rsidR="00000000" w:rsidRPr="00000000">
        <w:rPr>
          <w:rFonts w:ascii="Times New Roman" w:hAnsi="Times New Roman"/>
          <w:sz w:val="21"/>
          <w:rtl w:val="0"/>
        </w:rPr>
      </w:r>
    </w:p>
    <w:p w:rsidR="00000000" w:rsidDel="00000000" w:rsidP="00000000" w:rsidRDefault="00000000" w:rsidRPr="00000000" w14:paraId="0000005F">
      <w:pPr>
        <w:rPr>
          <w:rFonts w:ascii="Times New Roman" w:cs="Times New Roman" w:eastAsia="Times New Roman" w:hAnsi="Times New Roman"/>
          <w:b w:val="1"/>
          <w:bCs w:val="1"/>
          <w:color w:val="17365d"/>
          <w:sz w:val="28"/>
          <w:szCs w:val="28"/>
          <w:u w:val="single"/>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60">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b10zj7e7zbpm" w:id="2"/>
      <w:bookmarkEnd w:id="2"/>
      <w:r w:rsidDel="00000000" w:rsidR="00000000" w:rsidRPr="00000000">
        <w:rPr>
          <w:rFonts w:ascii="Times New Roman" w:cs="Times New Roman" w:eastAsia="Times New Roman" w:hAnsi="Times New Roman"/>
          <w:color w:val="17365d"/>
          <w:sz w:val="28"/>
          <w:szCs w:val="28"/>
          <w:u w:val="single"/>
          <w:rtl w:val="0"/>
        </w:rPr>
        <w:t xml:space="preserve">Agenda for the meeting</w:t>
      </w:r>
    </w:p>
    <w:p w:rsidR="00000000" w:rsidDel="00000000" w:rsidP="00000000" w:rsidRDefault="00000000" w:rsidRPr="00000000" w14:paraId="00000061">
      <w:pPr>
        <w:pStyle w:val="Heading1"/>
        <w:spacing w:line="360" w:lineRule="auto"/>
        <w:ind w:left="562" w:firstLine="0"/>
        <w:rPr>
          <w:rFonts w:ascii="Times New Roman" w:cs="Times New Roman" w:eastAsia="Times New Roman" w:hAnsi="Times New Roman"/>
          <w:sz w:val="24"/>
          <w:szCs w:val="24"/>
        </w:rPr>
      </w:pPr>
      <w:bookmarkStart w:colFirst="0" w:colLast="0" w:name="_tx5n5f15yc6q" w:id="3"/>
      <w:bookmarkEnd w:id="3"/>
      <w:r w:rsidDel="00000000" w:rsidR="00000000" w:rsidRPr="00000000">
        <w:rPr>
          <w:rFonts w:ascii="Times New Roman" w:cs="Times New Roman" w:eastAsia="Times New Roman" w:hAnsi="Times New Roman"/>
          <w:sz w:val="24"/>
          <w:szCs w:val="24"/>
          <w:rtl w:val="0"/>
        </w:rPr>
        <w:t xml:space="preserve">List of the matters to be discussed at the meeting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 The Resolution Professional to take the chair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2. Roll call and confirmation of participants</w:t>
      </w:r>
    </w:p>
    <w:p w:rsidR="00000000" w:rsidDel="00000000" w:rsidP="00000000" w:rsidRDefault="00000000" w:rsidRPr="00000000" w14:paraId="0000006F">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5vsnjzt8sleu" w:id="4"/>
      <w:bookmarkEnd w:id="4"/>
      <w:r w:rsidDel="00000000" w:rsidR="00000000" w:rsidRPr="00000000">
        <w:rPr>
          <w:rFonts w:ascii="Times New Roman" w:cs="Times New Roman" w:eastAsia="Times New Roman" w:hAnsi="Times New Roman"/>
          <w:color w:val="17365d"/>
          <w:sz w:val="28"/>
          <w:szCs w:val="28"/>
          <w:u w:val="single"/>
          <w:rtl w:val="0"/>
        </w:rPr>
        <w:t xml:space="preserve">List of the issues to be voted upon at the meeting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140" w:before="14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 Approval of process-specific bank account</w:t>
      </w:r>
    </w:p>
    <w:p w:rsidR="00000000" w:rsidDel="00000000" w:rsidP="00000000" w:rsidRDefault="00000000" w:rsidRPr="00000000" w14:paraId="00000079">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ayedranuhrb" w:id="5"/>
      <w:bookmarkEnd w:id="5"/>
      <w:r w:rsidDel="00000000" w:rsidR="00000000" w:rsidRPr="00000000">
        <w:rPr>
          <w:rFonts w:ascii="Times New Roman" w:cs="Times New Roman" w:eastAsia="Times New Roman" w:hAnsi="Times New Roman"/>
          <w:color w:val="17365d"/>
          <w:sz w:val="28"/>
          <w:szCs w:val="28"/>
          <w:u w:val="single"/>
          <w:rtl w:val="0"/>
        </w:rPr>
        <w:t xml:space="preserve">Instructions For E-Voting</w:t>
      </w:r>
    </w:p>
    <w:p w:rsidR="00000000" w:rsidDel="00000000" w:rsidP="00000000" w:rsidRDefault="00000000" w:rsidRPr="00000000" w14:paraId="0000007A">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7B">
      <w:pPr>
        <w:shd w:fill="ffffff" w:val="clea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START AND END TIME: The voting period will begin on Tuesday, September 15, 2026 06:00 PM and end on Wednesday, September 16, 2026 06:00 PM.</w:t>
      </w:r>
    </w:p>
    <w:p w:rsidR="00000000" w:rsidDel="00000000" w:rsidP="00000000" w:rsidRDefault="00000000" w:rsidRPr="00000000" w14:paraId="0000007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7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 LINK TO VOTE</w:t>
      </w:r>
      <w:r w:rsidDel="00000000" w:rsidR="00000000" w:rsidRPr="00000000">
        <w:rPr>
          <w:rFonts w:ascii="Times New Roman" w:cs="Times New Roman" w:eastAsia="Times New Roman" w:hAnsi="Times New Roman"/>
          <w:sz w:val="24"/>
          <w:szCs w:val="24"/>
          <w:rtl w:val="0"/>
        </w:rPr>
        <w:t xml:space="preserve">: The participating members of the Committee of Creditors should log on to the e-voting website </w:t>
      </w:r>
      <w:hyperlink r:id="rId14">
        <w:r w:rsidDel="00000000" w:rsidR="00000000" w:rsidRPr="00000000">
          <w:rPr>
            <w:rFonts w:ascii="Times New Roman" w:cs="Times New Roman" w:eastAsia="Times New Roman" w:hAnsi="Times New Roman"/>
            <w:sz w:val="24"/>
            <w:szCs w:val="24"/>
            <w:rtl w:val="0"/>
          </w:rPr>
          <w:t xml:space="preserve">https://dev.claim-bridge.com/otplogin</w:t>
        </w:r>
      </w:hyperlink>
      <w:r w:rsidDel="00000000" w:rsidR="00000000" w:rsidRPr="00000000">
        <w:rPr>
          <w:rFonts w:ascii="Times New Roman" w:cs="Times New Roman" w:eastAsia="Times New Roman" w:hAnsi="Times New Roman"/>
          <w:sz w:val="24"/>
          <w:szCs w:val="24"/>
          <w:rtl w:val="0"/>
        </w:rPr>
        <w:t xml:space="preserve"> login during the voting period.</w:t>
      </w:r>
    </w:p>
    <w:p w:rsidR="00000000" w:rsidDel="00000000" w:rsidP="00000000" w:rsidRDefault="00000000" w:rsidRPr="00000000" w14:paraId="0000007E">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7F">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by OTP</w:t>
      </w:r>
      <w:r w:rsidDel="00000000" w:rsidR="00000000" w:rsidRPr="00000000">
        <w:rPr>
          <w:rFonts w:ascii="Times New Roman" w:cs="Times New Roman" w:eastAsia="Times New Roman" w:hAnsi="Times New Roman"/>
          <w:sz w:val="24"/>
          <w:szCs w:val="24"/>
          <w:rtl w:val="0"/>
        </w:rPr>
        <w:t xml:space="preserve">: Enter your mobile or email id. Kindly ensure you use the same mobile number or Email id as notified to the IRP for e-Voting. </w:t>
      </w:r>
    </w:p>
    <w:p w:rsidR="00000000" w:rsidDel="00000000" w:rsidP="00000000" w:rsidRDefault="00000000" w:rsidRPr="00000000" w14:paraId="00000080">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1">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also receive an INVITE e-mail from </w:t>
      </w:r>
      <w:r w:rsidDel="00000000" w:rsidR="00000000" w:rsidRPr="00000000">
        <w:rPr>
          <w:rFonts w:ascii="Times New Roman" w:cs="Times New Roman" w:eastAsia="Times New Roman" w:hAnsi="Times New Roman"/>
          <w:b w:val="1"/>
          <w:bCs w:val="1"/>
          <w:sz w:val="24"/>
          <w:szCs w:val="24"/>
          <w:rtl w:val="0"/>
        </w:rPr>
        <w:t xml:space="preserve">Claim-Bridge</w:t>
      </w:r>
      <w:r w:rsidDel="00000000" w:rsidR="00000000" w:rsidRPr="00000000">
        <w:rPr>
          <w:rFonts w:ascii="Times New Roman" w:cs="Times New Roman" w:eastAsia="Times New Roman" w:hAnsi="Times New Roman"/>
          <w:sz w:val="24"/>
          <w:szCs w:val="24"/>
          <w:rtl w:val="0"/>
        </w:rPr>
        <w:t xml:space="preserve"> on the registered email id and mobile number with the same link http://intellicitycirp.com/otp login).</w:t>
      </w:r>
    </w:p>
    <w:p w:rsidR="00000000" w:rsidDel="00000000" w:rsidP="00000000" w:rsidRDefault="00000000" w:rsidRPr="00000000" w14:paraId="0000008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3">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rsidR="00000000" w:rsidDel="00000000" w:rsidP="00000000" w:rsidRDefault="00000000" w:rsidRPr="00000000" w14:paraId="0000008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5">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VOTING</w:t>
      </w:r>
      <w:r w:rsidDel="00000000" w:rsidR="00000000" w:rsidRPr="00000000">
        <w:rPr>
          <w:rFonts w:ascii="Times New Roman" w:cs="Times New Roman" w:eastAsia="Times New Roman" w:hAnsi="Times New Roman"/>
          <w:sz w:val="24"/>
          <w:szCs w:val="24"/>
          <w:rtl w:val="0"/>
        </w:rPr>
        <w:t xml:space="preserve">: Once logged in, you would go to voting’s and click on it. Here you would see the voting from the </w:t>
      </w:r>
      <w:r w:rsidDel="00000000" w:rsidR="00000000" w:rsidRPr="00000000">
        <w:rPr>
          <w:rFonts w:ascii="Times New Roman" w:cs="Times New Roman" w:eastAsia="Times New Roman" w:hAnsi="Times New Roman"/>
          <w:b w:val="1"/>
          <w:bCs w:val="1"/>
          <w:sz w:val="24"/>
          <w:szCs w:val="24"/>
          <w:rtl w:val="0"/>
        </w:rPr>
        <w:t xml:space="preserve">&lt;company / IRP&gt;</w:t>
      </w:r>
      <w:r w:rsidDel="00000000" w:rsidR="00000000" w:rsidRPr="00000000">
        <w:rPr>
          <w:rFonts w:ascii="Times New Roman" w:cs="Times New Roman" w:eastAsia="Times New Roman" w:hAnsi="Times New Roman"/>
          <w:sz w:val="24"/>
          <w:szCs w:val="24"/>
          <w:rtl w:val="0"/>
        </w:rPr>
        <w:t xml:space="preserve"> listed. Click on the event name i.e </w:t>
      </w:r>
      <w:r w:rsidDel="00000000" w:rsidR="00000000" w:rsidRPr="00000000">
        <w:rPr>
          <w:rFonts w:ascii="Times New Roman" w:cs="Times New Roman" w:eastAsia="Times New Roman" w:hAnsi="Times New Roman"/>
          <w:b w:val="1"/>
          <w:bCs w:val="1"/>
          <w:sz w:val="24"/>
          <w:szCs w:val="24"/>
          <w:rtl w:val="0"/>
        </w:rPr>
        <w:t xml:space="preserve">&lt;Vote here&gt;</w:t>
      </w:r>
      <w:r w:rsidDel="00000000" w:rsidR="00000000" w:rsidRPr="00000000">
        <w:rPr>
          <w:rFonts w:ascii="Times New Roman" w:cs="Times New Roman" w:eastAsia="Times New Roman" w:hAnsi="Times New Roman"/>
          <w:sz w:val="24"/>
          <w:szCs w:val="24"/>
          <w:rtl w:val="0"/>
        </w:rPr>
        <w:t xml:space="preserve"> and you would be taken to voting page.</w:t>
      </w:r>
    </w:p>
    <w:p w:rsidR="00000000" w:rsidDel="00000000" w:rsidP="00000000" w:rsidRDefault="00000000" w:rsidRPr="00000000" w14:paraId="0000008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7">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OPTIONS</w:t>
      </w:r>
      <w:r w:rsidDel="00000000" w:rsidR="00000000" w:rsidRPr="00000000">
        <w:rPr>
          <w:rFonts w:ascii="Times New Roman" w:cs="Times New Roman" w:eastAsia="Times New Roman" w:hAnsi="Times New Roman"/>
          <w:sz w:val="24"/>
          <w:szCs w:val="24"/>
          <w:rtl w:val="0"/>
        </w:rPr>
        <w:t xml:space="preserve">: On the voting page, you will see all the items to be voted upon. Against each item, following options would be available:</w:t>
      </w:r>
    </w:p>
    <w:p w:rsidR="00000000" w:rsidDel="00000000" w:rsidP="00000000" w:rsidRDefault="00000000" w:rsidRPr="00000000" w14:paraId="00000088">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89">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8A">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ABSTAIN</w:t>
      </w:r>
    </w:p>
    <w:p w:rsidR="00000000" w:rsidDel="00000000" w:rsidP="00000000" w:rsidRDefault="00000000" w:rsidRPr="00000000" w14:paraId="0000008B">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CONFIRMATION</w:t>
      </w:r>
      <w:r w:rsidDel="00000000" w:rsidR="00000000" w:rsidRPr="00000000">
        <w:rPr>
          <w:rFonts w:ascii="Times New Roman" w:cs="Times New Roman" w:eastAsia="Times New Roman" w:hAnsi="Times New Roman"/>
          <w:sz w:val="24"/>
          <w:szCs w:val="24"/>
          <w:rtl w:val="0"/>
        </w:rPr>
        <w:t xml:space="preserve">: After selecting the option, click on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You would receive a “THANK YOU” message on the screen. This is a confirmation that your vote has been recorded and also receives a confirmation note on registered email and mobile.</w:t>
      </w:r>
    </w:p>
    <w:p w:rsidR="00000000" w:rsidDel="00000000" w:rsidP="00000000" w:rsidRDefault="00000000" w:rsidRPr="00000000" w14:paraId="0000008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E">
      <w:pPr>
        <w:shd w:fill="ffffff" w:val="clea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CONTACT US: In case you have any queries or issues regarding e-voting, write an email to cirp.qa@example.test.</w:t>
      </w:r>
    </w:p>
    <w:p w:rsidR="00000000" w:rsidDel="00000000" w:rsidP="00000000" w:rsidRDefault="00000000" w:rsidRPr="00000000" w14:paraId="0000008F">
      <w:pPr>
        <w:pStyle w:val="Heading1"/>
        <w:spacing w:line="360" w:lineRule="auto"/>
        <w:ind w:left="562" w:firstLine="0"/>
        <w:jc w:val="center"/>
        <w:rPr>
          <w:rFonts w:ascii="Times New Roman" w:cs="Times New Roman" w:eastAsia="Times New Roman" w:hAnsi="Times New Roman"/>
          <w:sz w:val="24"/>
          <w:szCs w:val="24"/>
        </w:rPr>
      </w:pPr>
      <w:bookmarkStart w:colFirst="0" w:colLast="0" w:name="_d65j3mik1w9a" w:id="6"/>
      <w:bookmarkEnd w:id="6"/>
      <w:r w:rsidDel="00000000" w:rsidR="00000000" w:rsidRPr="00000000">
        <w:rPr>
          <w:rFonts w:ascii="Times New Roman" w:hAnsi="Times New Roman"/>
          <w:sz w:val="21"/>
        </w:rPr>
        <w:br w:type="page"/>
      </w:r>
      <w:r w:rsidDel="00000000" w:rsidR="00000000" w:rsidRPr="00000000">
        <w:rPr>
          <w:rFonts w:ascii="Times New Roman" w:cs="Times New Roman" w:eastAsia="Times New Roman" w:hAnsi="Times New Roman"/>
          <w:color w:val="17365d"/>
          <w:sz w:val="28"/>
          <w:szCs w:val="28"/>
          <w:u w:val="single"/>
          <w:rtl w:val="0"/>
        </w:rPr>
        <w:t xml:space="preserve">Notes to Agenda</w:t>
      </w:r>
      <w:r w:rsidDel="00000000" w:rsidR="00000000" w:rsidRPr="00000000">
        <w:rPr>
          <w:rFonts w:ascii="Times New Roman" w:hAnsi="Times New Roman"/>
          <w:sz w:val="21"/>
          <w:rtl w:val="0"/>
        </w:rPr>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 w:line="276" w:lineRule="auto"/>
        <w:ind w:left="672" w:right="207" w:hanging="428"/>
        <w:jc w:val="both"/>
        <w:rPr>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 per provisions of Regulation 13(2) of The Insolvency and Bankruptcy Board of India (Insolvency Resolution Process for Corporate Persons) Regulations 2016, (“CIRP Regulations”), the list of creditors is available for inspection at the project specific office of the Interim Resolution Professional, i.e. the registered office address recorded in the case workspace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6"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5 (27) of Insolvency and Bankruptcy Code, 2016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"resolution professional", for the purposes of this Part (i.e. Part II), means an insolvency professional appointed to conduct the corporate insolvency resolution process and includes an interim resolution professional.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21(2) of the CIRP Regulations, a Participant may attend the Meeting either in person or through an Authorised Representative. A Participant attending through an Authorised Representative, shall inform the signatory of the Notice, at least 24 hours in advance, the identity of the Authorised Representative who will attend and vote at the Meeting on its behalf. An indicative format for intimation of identity details of authorised representative for the aforesaid purpose is attached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this notice. The Authorised Representative is requested to carry an Identity Card for his/her identification.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5"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Section 24(5) Subject to sub-sections (6), (6A) and (6B) of section 21, any creditor who is a member of the committee of creditors may appoint an insolvency professional other than the resolution professional to represent such creditor in a meeting of the committee of creditors: Provided that the fees payable to such insolvency professional representing any individual creditor will be borne by such creditor.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Section 24 of the Code, a participant being a member of committee of creditors shall only be entitled to vote at the Meeting or by electronic means. The Directors of the Corporate Debtor and representatives of the Operational Creditor(s), if any, attending the Meeting shall not have any right to vote at the Meeting and shall not form a part of the quorum. A Financial Creditor being a related party of the Corporate Debtor shall not have any right of representation, participation or voting in the Meeting.</w:t>
      </w:r>
    </w:p>
    <w:p w:rsidR="00000000" w:rsidDel="00000000" w:rsidP="00000000" w:rsidRDefault="00000000" w:rsidRPr="00000000" w14:paraId="00000099">
      <w:pPr>
        <w:widowControl w:val="0"/>
        <w:tabs>
          <w:tab w:val="left" w:leader="none" w:pos="673"/>
        </w:tabs>
        <w:spacing w:after="0" w:lineRule="auto"/>
        <w:ind w:right="207"/>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89" w:line="276" w:lineRule="auto"/>
        <w:ind w:left="672" w:right="207" w:hanging="4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Regulation 22 (2) of the CIRP Regulations, where a meeting of the committee could not be held for want of quorum, unless the committee has previously decided otherwise, the meeting shall automatically stand adjourned at the same time and place on the next day. In the event a meeting of the committee is adjourned, the adjourned meeting shall be quorate with the members of the committee attending the meeting.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Section 21 (8) of the Code, save as otherwise provided in the Code, all decisions of the committee of creditors shall be taken by a vote of not less than fifty-one per cent of voting share of the financial creditors.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Regulation 25(4) of CIRP Regulations, at the conclusion of voting on the resolution, the decision taken on each of the items along with the names of the Members of the Committee of Creditors who voted for or against the decision, or abstained from voting will be announced.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terms of Regulation 25(5) of the Insolvency and Bankruptcy Board of India(Insolvency Resolution Process for Corporate Persons) Regulations, 2016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(“CIRP Regulations”),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Interim Resolution Professional shall:</w:t>
      </w:r>
    </w:p>
    <w:p w:rsidR="00000000" w:rsidDel="00000000" w:rsidP="00000000" w:rsidRDefault="00000000" w:rsidRPr="00000000" w14:paraId="000000A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94"/>
        </w:tabs>
        <w:spacing w:after="0" w:before="0" w:line="278.00000000000006" w:lineRule="auto"/>
        <w:ind w:left="1393" w:right="214"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circulate the minutes of the meeting by electronic means to all members of the committee within forty-eight (48) hours of the conclusion of the meeting; and</w:t>
      </w:r>
    </w:p>
    <w:p w:rsidR="00000000" w:rsidDel="00000000" w:rsidP="00000000" w:rsidRDefault="00000000" w:rsidRPr="00000000" w14:paraId="000000A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94"/>
        </w:tabs>
        <w:spacing w:after="0" w:before="1" w:line="278.00000000000006" w:lineRule="auto"/>
        <w:ind w:left="1393" w:right="20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 a vote of the members who did not vote at the meeting on the matters listed for voting, by electronic voting system in accordance with regulation 26 where the voting shall be kept open for twenty-four (24) hours from the circulation of the minutes (Details of E-voting provided below).</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5(13) of the Code "insolvency resolution process costs" means—</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3" w:line="240" w:lineRule="auto"/>
        <w:ind w:left="1239" w:right="0" w:hanging="28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any interim finance and the costs incurred in raising such finance;</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5" w:line="240" w:lineRule="auto"/>
        <w:ind w:left="1239" w:right="0" w:hanging="28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fees payable to any person acting as a resolution professional;</w:t>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5" w:line="240" w:lineRule="auto"/>
        <w:ind w:left="1239" w:right="213" w:hanging="28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costs incurred by the resolution professional in running the business of the corporate debtor as a going concern;</w: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4" w:line="240" w:lineRule="auto"/>
        <w:ind w:left="1239" w:right="214" w:hanging="28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costs incurred at the expense of the Government to facilitate the insolvency resolution process; and</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8" w:line="240" w:lineRule="auto"/>
        <w:ind w:left="1239" w:right="0" w:hanging="28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other costs as may be specified by the Board;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31 of CIRP Regulations, Insolvency resolution process costs under Section 5(13)(e) of the Code shall mean-</w:t>
      </w:r>
    </w:p>
    <w:p w:rsidR="00000000" w:rsidDel="00000000" w:rsidP="00000000" w:rsidRDefault="00000000" w:rsidRPr="00000000" w14:paraId="000000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0" w:line="240" w:lineRule="auto"/>
        <w:ind w:left="1239"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amounts due to suppliers of essential goods and services under Regulation32;</w:t>
      </w:r>
    </w:p>
    <w:p w:rsidR="00000000" w:rsidDel="00000000" w:rsidP="00000000" w:rsidRDefault="00000000" w:rsidRPr="00000000" w14:paraId="000000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40" w:lineRule="auto"/>
        <w:ind w:left="1239"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payable to authorised representative under sub-regulation (8) of regulation 16A;</w:t>
      </w:r>
    </w:p>
    <w:p w:rsidR="00000000" w:rsidDel="00000000" w:rsidP="00000000" w:rsidRDefault="00000000" w:rsidRPr="00000000" w14:paraId="000000A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pocket expenses of authorised representative for discharge of his functions under section 25;</w:t>
      </w:r>
    </w:p>
    <w:p w:rsidR="00000000" w:rsidDel="00000000" w:rsidP="00000000" w:rsidRDefault="00000000" w:rsidRPr="00000000" w14:paraId="000000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amounts due to a person whose rights are prejudicially affected on account of the moratorium imposed under section 14(1)(d);</w:t>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incurred on or by the interim resolution professional to the extent ratified under Regulation 33;</w:t>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incurred on or by the resolution professional fixed under Regulation 34; and</w:t>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costs directly relating to the corporate insolvency resolution process and  approved by the committee.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33 of CIRP Regulations, costs of the interim resolution professional-</w:t>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shall fix the expenses to be incurred on or by the Interim Resolution Professional.</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Adjudicating Authority shall fix expenses where the applicant has not fixed expenses under sub-regulation (1).</w:t>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shall bear the expenses which shall be reimbursed by the committee to the extent it ratifies.</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expenses ratified by the committee shall be treated as insolvency resolution process costs.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BB">
      <w:pPr>
        <w:spacing w:after="0" w:line="264" w:lineRule="auto"/>
        <w:ind w:left="677" w:right="202"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 </w:t>
      </w:r>
      <w:r w:rsidDel="00000000" w:rsidR="00000000" w:rsidRPr="00000000">
        <w:rPr>
          <w:rFonts w:ascii="Times New Roman" w:cs="Times New Roman" w:eastAsia="Times New Roman" w:hAnsi="Times New Roman"/>
          <w:i w:val="1"/>
          <w:iCs w:val="1"/>
          <w:sz w:val="24"/>
          <w:szCs w:val="24"/>
          <w:rtl w:val="0"/>
        </w:rPr>
        <w:t xml:space="preserve">- For the purposes of this regulation, “expenses” include the fee to be paid to the resolution professional, fee to be paid to insolvency professional entity, if any, and fee to be paid to professionals, if any, and other expenses to be incurred by the resolution professional.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hAnsi="Times New Roman"/>
          <w:sz w:val="21"/>
          <w:rtl w:val="0"/>
        </w:rPr>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34 of CIRP Regulations, Resolution Professional Cost-</w:t>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committee shall fix the expenses to be incurred on or by the resolution professional and the expenses shall constitute insolvency resolution process costs.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0">
      <w:pPr>
        <w:spacing w:after="0" w:line="264" w:lineRule="auto"/>
        <w:ind w:left="677" w:right="202"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 </w:t>
      </w:r>
      <w:r w:rsidDel="00000000" w:rsidR="00000000" w:rsidRPr="00000000">
        <w:rPr>
          <w:rFonts w:ascii="Times New Roman" w:cs="Times New Roman" w:eastAsia="Times New Roman" w:hAnsi="Times New Roman"/>
          <w:i w:val="1"/>
          <w:iCs w:val="1"/>
          <w:sz w:val="24"/>
          <w:szCs w:val="24"/>
          <w:rtl w:val="0"/>
        </w:rPr>
        <w:t xml:space="preserve">- For the purposes of this regulation, “expenses” include the fee to be paid to the resolution professional, fee to be paid to insolvency professional entity, if any, and fee to be paid to professionals, if any, and other expenses to be incurred by the resolution professional.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2 (1) (hb) of CIRP Regulations-“fair value” means the estimated realizable value of the assets of the corporate debtor, if they were to be exchanged on the insolvency commencement date between a willing buyer and a willing seller in an arm’s length transaction, after proper marketing and where the parties had acted knowledgeably, prudently and without compulsion;”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3"/>
        </w:tabs>
        <w:spacing w:after="0" w:before="0" w:line="264" w:lineRule="auto"/>
        <w:ind w:left="677" w:right="2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2 (1) (k) of CIRP Regulations- “liquidation value” means the estimated realizable value of the assets of the corporate debtor, if the corporate debtor were to be liquidated on the insolvency commencement date.”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17 of the IBC 2016, Management of affairs of corporate debtor by interim resolution professional</w:t>
      </w:r>
    </w:p>
    <w:p w:rsidR="00000000" w:rsidDel="00000000" w:rsidP="00000000" w:rsidRDefault="00000000" w:rsidRPr="00000000" w14:paraId="000000C7">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From the date of appointment of the interim resolution professional, - </w:t>
      </w:r>
    </w:p>
    <w:p w:rsidR="00000000" w:rsidDel="00000000" w:rsidP="00000000" w:rsidRDefault="00000000" w:rsidRPr="00000000" w14:paraId="000000C8">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management of the affairs of the corporate debtor shall vest in the interim resolution professional; </w:t>
      </w:r>
    </w:p>
    <w:p w:rsidR="00000000" w:rsidDel="00000000" w:rsidP="00000000" w:rsidRDefault="00000000" w:rsidRPr="00000000" w14:paraId="000000C9">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powers of the board of directors or the partners of the corporate debtor, as the case may be, shall stand suspended and be exercised by the interim resolution professional; </w:t>
      </w:r>
    </w:p>
    <w:p w:rsidR="00000000" w:rsidDel="00000000" w:rsidP="00000000" w:rsidRDefault="00000000" w:rsidRPr="00000000" w14:paraId="000000CA">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officers and managers of the corporate debtor shall report to the interim resolution professional and provide access to such documents and records of the corporate debtor as may be required by the interim resolution professional;</w:t>
      </w:r>
    </w:p>
    <w:p w:rsidR="00000000" w:rsidDel="00000000" w:rsidP="00000000" w:rsidRDefault="00000000" w:rsidRPr="00000000" w14:paraId="000000CB">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rsidR="00000000" w:rsidDel="00000000" w:rsidP="00000000" w:rsidRDefault="00000000" w:rsidRPr="00000000" w14:paraId="000000CC">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interim resolution professional vested with the management of the corporate debtor, shall- (a) act and execute in the name and on behalf of the corporate debtor all deeds, receipts, and other documents, if any; </w:t>
      </w:r>
    </w:p>
    <w:p w:rsidR="00000000" w:rsidDel="00000000" w:rsidP="00000000" w:rsidRDefault="00000000" w:rsidRPr="00000000" w14:paraId="000000CD">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(b)take such actions, in the manner and subject to such restrictions, as may be specified by the Board;</w:t>
      </w:r>
    </w:p>
    <w:p w:rsidR="00000000" w:rsidDel="00000000" w:rsidP="00000000" w:rsidRDefault="00000000" w:rsidRPr="00000000" w14:paraId="000000CE">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have the authority to access the electronic records of corporate debtor from information utility having financial information of the corporate debtor;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have the authority to access the books of account, records and other relevant documents of corporate debtor available with government authorities, statutory auditors, accountants and such other persons as</w:t>
      </w:r>
    </w:p>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18 of the IBC 2016, Duties of interim resolution professional. - The interim resolution professional shall perform the following duties, namely: - </w:t>
      </w:r>
    </w:p>
    <w:p w:rsidR="00000000" w:rsidDel="00000000" w:rsidP="00000000" w:rsidRDefault="00000000" w:rsidRPr="00000000" w14:paraId="000000D1">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collect all information relating to the assets, finances and operations of the corporate debtor for determining the financial position of the corporate debtor, including information relating to – </w:t>
      </w:r>
    </w:p>
    <w:p w:rsidR="00000000" w:rsidDel="00000000" w:rsidP="00000000" w:rsidRDefault="00000000" w:rsidRPr="00000000" w14:paraId="000000D2">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business operations for the previous two years; </w:t>
      </w:r>
    </w:p>
    <w:p w:rsidR="00000000" w:rsidDel="00000000" w:rsidP="00000000" w:rsidRDefault="00000000" w:rsidRPr="00000000" w14:paraId="000000D3">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financial and operational payments for the previous two years; </w:t>
      </w:r>
    </w:p>
    <w:p w:rsidR="00000000" w:rsidDel="00000000" w:rsidP="00000000" w:rsidRDefault="00000000" w:rsidRPr="00000000" w14:paraId="000000D4">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list of assets and liabilities as on the initiation date; and </w:t>
      </w:r>
    </w:p>
    <w:p w:rsidR="00000000" w:rsidDel="00000000" w:rsidP="00000000" w:rsidRDefault="00000000" w:rsidRPr="00000000" w14:paraId="000000D5">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such other matters as may be specified; </w:t>
      </w:r>
    </w:p>
    <w:p w:rsidR="00000000" w:rsidDel="00000000" w:rsidP="00000000" w:rsidRDefault="00000000" w:rsidRPr="00000000" w14:paraId="000000D6">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receive and collate all the claims submitted by creditors to him, pursuant to the public announcement made under sections 13 and 15; </w:t>
      </w:r>
    </w:p>
    <w:p w:rsidR="00000000" w:rsidDel="00000000" w:rsidP="00000000" w:rsidRDefault="00000000" w:rsidRPr="00000000" w14:paraId="000000D7">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constitute a committee of creditors; </w:t>
      </w:r>
    </w:p>
    <w:p w:rsidR="00000000" w:rsidDel="00000000" w:rsidP="00000000" w:rsidRDefault="00000000" w:rsidRPr="00000000" w14:paraId="000000D8">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monitor the assets of the corporate debtor and manage its operations until a resolution professional is appointed by the committee of creditors;</w:t>
      </w:r>
    </w:p>
    <w:p w:rsidR="00000000" w:rsidDel="00000000" w:rsidP="00000000" w:rsidRDefault="00000000" w:rsidRPr="00000000" w14:paraId="000000D9">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file information collected with the information utility, if necessary; and</w:t>
      </w:r>
    </w:p>
    <w:p w:rsidR="00000000" w:rsidDel="00000000" w:rsidP="00000000" w:rsidRDefault="00000000" w:rsidRPr="00000000" w14:paraId="000000DA">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rsidR="00000000" w:rsidDel="00000000" w:rsidP="00000000" w:rsidRDefault="00000000" w:rsidRPr="00000000" w14:paraId="000000DB">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assets over which the corporate debtor has ownership rights which may be located in a foreign country; </w:t>
      </w:r>
    </w:p>
    <w:p w:rsidR="00000000" w:rsidDel="00000000" w:rsidP="00000000" w:rsidRDefault="00000000" w:rsidRPr="00000000" w14:paraId="000000DC">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assets that may or may not be in possession of the corporate debtor;</w:t>
      </w:r>
    </w:p>
    <w:p w:rsidR="00000000" w:rsidDel="00000000" w:rsidP="00000000" w:rsidRDefault="00000000" w:rsidRPr="00000000" w14:paraId="000000DD">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tangible assets, whether movable or immovable; </w:t>
      </w:r>
    </w:p>
    <w:p w:rsidR="00000000" w:rsidDel="00000000" w:rsidP="00000000" w:rsidRDefault="00000000" w:rsidRPr="00000000" w14:paraId="000000DE">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intangible assets including intellectual property; </w:t>
      </w:r>
    </w:p>
    <w:p w:rsidR="00000000" w:rsidDel="00000000" w:rsidP="00000000" w:rsidRDefault="00000000" w:rsidRPr="00000000" w14:paraId="000000DF">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securities including shares held in any subsidiary of the corporate debtor, financial instruments, insurance policies; </w:t>
      </w:r>
    </w:p>
    <w:p w:rsidR="00000000" w:rsidDel="00000000" w:rsidP="00000000" w:rsidRDefault="00000000" w:rsidRPr="00000000" w14:paraId="000000E0">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assets subject to the determination of ownership by a court or authority; </w:t>
      </w:r>
    </w:p>
    <w:p w:rsidR="00000000" w:rsidDel="00000000" w:rsidP="00000000" w:rsidRDefault="00000000" w:rsidRPr="00000000" w14:paraId="000000E1">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to perform such other duties as may be specified by the Board. Explanation. – For the purposes of this 1 [section], the term “assets” shall not include the following, namely: - </w:t>
      </w:r>
    </w:p>
    <w:p w:rsidR="00000000" w:rsidDel="00000000" w:rsidP="00000000" w:rsidRDefault="00000000" w:rsidRPr="00000000" w14:paraId="000000E2">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assets owned by a third party in possession of the corporate debtor held under trust or under contractual arrangements including bailment; </w:t>
      </w:r>
    </w:p>
    <w:p w:rsidR="00000000" w:rsidDel="00000000" w:rsidP="00000000" w:rsidRDefault="00000000" w:rsidRPr="00000000" w14:paraId="000000E3">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assets of any Indian or foreign subsidiary of the corporate debtor; and </w:t>
      </w:r>
    </w:p>
    <w:p w:rsidR="00000000" w:rsidDel="00000000" w:rsidP="00000000" w:rsidRDefault="00000000" w:rsidRPr="00000000" w14:paraId="000000E4">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such other assets as may be notified by the Central Government in consultation with any financial sector regulator.</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40"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19 of the IBC 2016 </w:t>
      </w:r>
    </w:p>
    <w:p w:rsidR="00000000" w:rsidDel="00000000" w:rsidP="00000000" w:rsidRDefault="00000000" w:rsidRPr="00000000" w14:paraId="000000E6">
      <w:pPr>
        <w:spacing w:after="0" w:line="240" w:lineRule="auto"/>
        <w:ind w:left="675" w:firstLine="0"/>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E7">
      <w:pPr>
        <w:spacing w:line="240" w:lineRule="auto"/>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Subject to this Regulation, a meeting of the committee shall be called by giving not less than five days’ notice in writing to every participant, at the address it has provided to the interim resolution professional or the resolution professional, as the case may be, and such notice may be sent by hand delivery, or by post but in any event, be served on every participant by electronic means in accordance with Regulation 20. </w:t>
      </w:r>
    </w:p>
    <w:p w:rsidR="00000000" w:rsidDel="00000000" w:rsidP="00000000" w:rsidRDefault="00000000" w:rsidRPr="00000000" w14:paraId="000000E8">
      <w:pPr>
        <w:spacing w:line="240" w:lineRule="auto"/>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committee may reduce the notice period from five days to such other period of not less than twenty-four hours, as it deems fit: Provided that the committee may reduce the period to such other period of not less than forty-eight hours if there is any authorised representative</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22(2) of the code 2016, The committee of creditors, may, in the first meeting, by a majority vote of not less than 66 per cent. of the voting share of the financial creditors, either resolve to appoint the interim resolution professional as a resolution professional or to replace the interim resolution professional by another resolution professional.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PROPOSED RESOLUTIONS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3. Approval of process-specific bank account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RESOLVED THAT a process-specific bank account be opened for CIRP transactions.</w:t>
      </w:r>
    </w:p>
    <w:sectPr>
      <w:footerReference r:id="rId15" w:type="default"/>
      <w:pgSz w:h="16839" w:w="11907" w:orient="portrait"/>
      <w:pgMar w:bottom="280" w:top="1440" w:left="1170" w:right="1467" w:header="720" w:footer="99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672" w:hanging="427.99999999999994"/>
      </w:pPr>
      <w:rPr>
        <w:rFonts w:ascii="Cambria" w:cs="Cambria" w:eastAsia="Cambria" w:hAnsi="Cambria"/>
        <w:sz w:val="24"/>
        <w:szCs w:val="24"/>
      </w:rPr>
    </w:lvl>
    <w:lvl w:ilvl="1">
      <w:start w:val="1"/>
      <w:numFmt w:val="lowerLetter"/>
      <w:lvlText w:val="%2)"/>
      <w:lvlJc w:val="left"/>
      <w:pPr>
        <w:ind w:left="1393" w:hanging="360"/>
      </w:pPr>
      <w:rPr>
        <w:rFonts w:ascii="Cambria" w:cs="Cambria" w:eastAsia="Cambria" w:hAnsi="Cambria"/>
        <w:sz w:val="24"/>
        <w:szCs w:val="24"/>
      </w:rPr>
    </w:lvl>
    <w:lvl w:ilvl="2">
      <w:start w:val="0"/>
      <w:numFmt w:val="bullet"/>
      <w:lvlText w:val="•"/>
      <w:lvlJc w:val="left"/>
      <w:pPr>
        <w:ind w:left="2400" w:hanging="360"/>
      </w:pPr>
      <w:rPr/>
    </w:lvl>
    <w:lvl w:ilvl="3">
      <w:start w:val="0"/>
      <w:numFmt w:val="bullet"/>
      <w:lvlText w:val="•"/>
      <w:lvlJc w:val="left"/>
      <w:pPr>
        <w:ind w:left="3401" w:hanging="360"/>
      </w:pPr>
      <w:rPr/>
    </w:lvl>
    <w:lvl w:ilvl="4">
      <w:start w:val="0"/>
      <w:numFmt w:val="bullet"/>
      <w:lvlText w:val="•"/>
      <w:lvlJc w:val="left"/>
      <w:pPr>
        <w:ind w:left="4402" w:hanging="360"/>
      </w:pPr>
      <w:rPr/>
    </w:lvl>
    <w:lvl w:ilvl="5">
      <w:start w:val="0"/>
      <w:numFmt w:val="bullet"/>
      <w:lvlText w:val="•"/>
      <w:lvlJc w:val="left"/>
      <w:pPr>
        <w:ind w:left="5402" w:hanging="360"/>
      </w:pPr>
      <w:rPr/>
    </w:lvl>
    <w:lvl w:ilvl="6">
      <w:start w:val="0"/>
      <w:numFmt w:val="bullet"/>
      <w:lvlText w:val="•"/>
      <w:lvlJc w:val="left"/>
      <w:pPr>
        <w:ind w:left="6403" w:hanging="360"/>
      </w:pPr>
      <w:rPr/>
    </w:lvl>
    <w:lvl w:ilvl="7">
      <w:start w:val="0"/>
      <w:numFmt w:val="bullet"/>
      <w:lvlText w:val="•"/>
      <w:lvlJc w:val="left"/>
      <w:pPr>
        <w:ind w:left="7404" w:hanging="360"/>
      </w:pPr>
      <w:rPr/>
    </w:lvl>
    <w:lvl w:ilvl="8">
      <w:start w:val="0"/>
      <w:numFmt w:val="bullet"/>
      <w:lvlText w:val="•"/>
      <w:lvlJc w:val="left"/>
      <w:pPr>
        <w:ind w:left="8404" w:hanging="360"/>
      </w:pPr>
      <w:rPr/>
    </w:lvl>
  </w:abstractNum>
  <w:abstractNum w:abstractNumId="4">
    <w:lvl w:ilvl="0">
      <w:start w:val="0"/>
      <w:numFmt w:val="bullet"/>
      <w:lvlText w:val="●"/>
      <w:lvlJc w:val="left"/>
      <w:pPr>
        <w:ind w:left="1239" w:hanging="360"/>
      </w:pPr>
      <w:rPr>
        <w:rFonts w:ascii="Noto Sans Symbols" w:cs="Noto Sans Symbols" w:eastAsia="Noto Sans Symbols" w:hAnsi="Noto Sans Symbols"/>
        <w:sz w:val="24"/>
        <w:szCs w:val="24"/>
      </w:rPr>
    </w:lvl>
    <w:lvl w:ilvl="1">
      <w:start w:val="0"/>
      <w:numFmt w:val="bullet"/>
      <w:lvlText w:val="•"/>
      <w:lvlJc w:val="left"/>
      <w:pPr>
        <w:ind w:left="2156" w:hanging="360"/>
      </w:pPr>
      <w:rPr/>
    </w:lvl>
    <w:lvl w:ilvl="2">
      <w:start w:val="0"/>
      <w:numFmt w:val="bullet"/>
      <w:lvlText w:val="•"/>
      <w:lvlJc w:val="left"/>
      <w:pPr>
        <w:ind w:left="3073" w:hanging="360"/>
      </w:pPr>
      <w:rPr/>
    </w:lvl>
    <w:lvl w:ilvl="3">
      <w:start w:val="0"/>
      <w:numFmt w:val="bullet"/>
      <w:lvlText w:val="•"/>
      <w:lvlJc w:val="left"/>
      <w:pPr>
        <w:ind w:left="3989" w:hanging="360"/>
      </w:pPr>
      <w:rPr/>
    </w:lvl>
    <w:lvl w:ilvl="4">
      <w:start w:val="0"/>
      <w:numFmt w:val="bullet"/>
      <w:lvlText w:val="•"/>
      <w:lvlJc w:val="left"/>
      <w:pPr>
        <w:ind w:left="4906" w:hanging="360"/>
      </w:pPr>
      <w:rPr/>
    </w:lvl>
    <w:lvl w:ilvl="5">
      <w:start w:val="0"/>
      <w:numFmt w:val="bullet"/>
      <w:lvlText w:val="•"/>
      <w:lvlJc w:val="left"/>
      <w:pPr>
        <w:ind w:left="5823" w:hanging="360"/>
      </w:pPr>
      <w:rPr/>
    </w:lvl>
    <w:lvl w:ilvl="6">
      <w:start w:val="0"/>
      <w:numFmt w:val="bullet"/>
      <w:lvlText w:val="•"/>
      <w:lvlJc w:val="left"/>
      <w:pPr>
        <w:ind w:left="6739" w:hanging="360"/>
      </w:pPr>
      <w:rPr/>
    </w:lvl>
    <w:lvl w:ilvl="7">
      <w:start w:val="0"/>
      <w:numFmt w:val="bullet"/>
      <w:lvlText w:val="•"/>
      <w:lvlJc w:val="left"/>
      <w:pPr>
        <w:ind w:left="7656" w:hanging="360"/>
      </w:pPr>
      <w:rPr/>
    </w:lvl>
    <w:lvl w:ilvl="8">
      <w:start w:val="0"/>
      <w:numFmt w:val="bullet"/>
      <w:lvlText w:val="•"/>
      <w:lvlJc w:val="left"/>
      <w:pPr>
        <w:ind w:left="8573" w:hanging="360"/>
      </w:pPr>
      <w:rPr/>
    </w:lvl>
  </w:abstractNum>
  <w:abstractNum w:abstractNumId="5">
    <w:lvl w:ilvl="0">
      <w:start w:val="1"/>
      <w:numFmt w:val="lowerLetter"/>
      <w:lvlText w:val="%1."/>
      <w:lvlJc w:val="left"/>
      <w:pPr>
        <w:ind w:left="1239" w:hanging="280.9999999999999"/>
      </w:pPr>
      <w:rPr>
        <w:rFonts w:ascii="Cambria" w:cs="Cambria" w:eastAsia="Cambria" w:hAnsi="Cambria"/>
        <w:sz w:val="24"/>
        <w:szCs w:val="24"/>
      </w:rPr>
    </w:lvl>
    <w:lvl w:ilvl="1">
      <w:start w:val="0"/>
      <w:numFmt w:val="bullet"/>
      <w:lvlText w:val="•"/>
      <w:lvlJc w:val="left"/>
      <w:pPr>
        <w:ind w:left="2156" w:hanging="281"/>
      </w:pPr>
      <w:rPr/>
    </w:lvl>
    <w:lvl w:ilvl="2">
      <w:start w:val="0"/>
      <w:numFmt w:val="bullet"/>
      <w:lvlText w:val="•"/>
      <w:lvlJc w:val="left"/>
      <w:pPr>
        <w:ind w:left="3073" w:hanging="281"/>
      </w:pPr>
      <w:rPr/>
    </w:lvl>
    <w:lvl w:ilvl="3">
      <w:start w:val="0"/>
      <w:numFmt w:val="bullet"/>
      <w:lvlText w:val="•"/>
      <w:lvlJc w:val="left"/>
      <w:pPr>
        <w:ind w:left="3989" w:hanging="281.00000000000045"/>
      </w:pPr>
      <w:rPr/>
    </w:lvl>
    <w:lvl w:ilvl="4">
      <w:start w:val="0"/>
      <w:numFmt w:val="bullet"/>
      <w:lvlText w:val="•"/>
      <w:lvlJc w:val="left"/>
      <w:pPr>
        <w:ind w:left="4906" w:hanging="281"/>
      </w:pPr>
      <w:rPr/>
    </w:lvl>
    <w:lvl w:ilvl="5">
      <w:start w:val="0"/>
      <w:numFmt w:val="bullet"/>
      <w:lvlText w:val="•"/>
      <w:lvlJc w:val="left"/>
      <w:pPr>
        <w:ind w:left="5823" w:hanging="281.0000000000009"/>
      </w:pPr>
      <w:rPr/>
    </w:lvl>
    <w:lvl w:ilvl="6">
      <w:start w:val="0"/>
      <w:numFmt w:val="bullet"/>
      <w:lvlText w:val="•"/>
      <w:lvlJc w:val="left"/>
      <w:pPr>
        <w:ind w:left="6739" w:hanging="281"/>
      </w:pPr>
      <w:rPr/>
    </w:lvl>
    <w:lvl w:ilvl="7">
      <w:start w:val="0"/>
      <w:numFmt w:val="bullet"/>
      <w:lvlText w:val="•"/>
      <w:lvlJc w:val="left"/>
      <w:pPr>
        <w:ind w:left="7656" w:hanging="281"/>
      </w:pPr>
      <w:rPr/>
    </w:lvl>
    <w:lvl w:ilvl="8">
      <w:start w:val="0"/>
      <w:numFmt w:val="bullet"/>
      <w:lvlText w:val="•"/>
      <w:lvlJc w:val="left"/>
      <w:pPr>
        <w:ind w:left="8573" w:hanging="28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566"/>
    </w:pPr>
    <w:rPr>
      <w:rFonts w:ascii="Calibri" w:cs="Calibri" w:eastAsia="Calibri" w:hAnsi="Calibri"/>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payal.ganguly@hdfc.bank.in" TargetMode="External"/><Relationship Id="rId10" Type="http://schemas.openxmlformats.org/officeDocument/2006/relationships/hyperlink" Target="mailto:rajesh.kulakada@hdfc.bank.in" TargetMode="External"/><Relationship Id="rId13" Type="http://schemas.openxmlformats.org/officeDocument/2006/relationships/hyperlink" Target="mailto:[EMAIL OF SUSPENDED DIRECTOR 1]" TargetMode="External"/><Relationship Id="rId12" Type="http://schemas.openxmlformats.org/officeDocument/2006/relationships/hyperlink" Target="mailto:rajib.ratha@hdfc.bank.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hish.rawat9@hdfc.bank.in" TargetMode="External"/><Relationship Id="rId15" Type="http://schemas.openxmlformats.org/officeDocument/2006/relationships/footer" Target="footer1.xml"/><Relationship Id="rId14" Type="http://schemas.openxmlformats.org/officeDocument/2006/relationships/hyperlink" Target="https://dev.claim-bridge.com/otplogin" TargetMode="External"/><Relationship Id="rId5" Type="http://schemas.openxmlformats.org/officeDocument/2006/relationships/styles" Target="styles.xml"/><Relationship Id="rId6" Type="http://schemas.openxmlformats.org/officeDocument/2006/relationships/hyperlink" Target="mailto:cirp.keshav@gmail.com" TargetMode="External"/><Relationship Id="rId7" Type="http://schemas.openxmlformats.org/officeDocument/2006/relationships/hyperlink" Target="mailto:cirp.keshav@gmail.com" TargetMode="External"/><Relationship Id="rId8" Type="http://schemas.openxmlformats.org/officeDocument/2006/relationships/hyperlink" Target="mailto:keshav.negi@hdfc.ban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