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spacing w:after="160"/>
      </w:pPr>
      <w:r>
        <w:rPr>
          <w:rFonts w:ascii="Calibri" w:hAnsi="Calibri"/>
          <w:b/>
          <w:color w:val="2563EB"/>
          <w:sz w:val="22"/>
        </w:rPr>
        <w:t>VITYARTHI • BUILD YOUR OWN PROJECT (BYOP)</w:t>
      </w:r>
    </w:p>
    <w:p>
      <w:pPr>
        <w:spacing w:before="80" w:after="120"/>
      </w:pPr>
      <w:r>
        <w:rPr>
          <w:rFonts w:ascii="Calibri" w:hAnsi="Calibri"/>
          <w:b/>
          <w:color w:val="0F172A"/>
          <w:sz w:val="52"/>
        </w:rPr>
        <w:t>Problem Statement</w:t>
      </w:r>
    </w:p>
    <w:p>
      <w:pPr>
        <w:spacing w:before="0" w:after="560"/>
      </w:pPr>
      <w:r>
        <w:rPr>
          <w:rFonts w:ascii="Calibri" w:hAnsi="Calibri"/>
          <w:color w:val="475569"/>
          <w:sz w:val="26"/>
        </w:rPr>
        <w:t>Everyday Friction in Dormitory Life &amp; Academic Deadline Tracking</w:t>
      </w:r>
    </w:p>
    <w:tbl>
      <w:tblPr>
        <w:tblW w:type="auto" w:w="0"/>
        <w:jc w:val="center"/>
        <w:tblLayout w:type="fixed"/>
        <w:tblLook w:firstColumn="1" w:firstRow="1" w:lastColumn="0" w:lastRow="0" w:noHBand="0" w:noVBand="1" w:val="04A0"/>
      </w:tblPr>
      <w:tblGrid>
        <w:gridCol w:w="4824"/>
        <w:gridCol w:w="4824"/>
      </w:tblGrid>
      <w:tr>
        <w:tc>
          <w:tcPr>
            <w:tcW w:type="dxa" w:w="3168"/>
            <w:shd w:fill="F8FAFC"/>
            <w:tcMar>
              <w:top w:w="100" w:type="dxa"/>
              <w:bottom w:w="100" w:type="dxa"/>
              <w:left w:w="140" w:type="dxa"/>
              <w:right w:w="140" w:type="dxa"/>
            </w:tcMar>
            <w:tcBorders>
              <w:bottom w:val="single" w:sz="6" w:space="0" w:color="CBD5E1"/>
              <w:top w:val="none"/>
              <w:left w:val="none"/>
              <w:right w:val="none"/>
            </w:tcBorders>
          </w:tcPr>
          <w:p>
            <w:pPr>
              <w:spacing w:before="40" w:after="40"/>
            </w:pPr>
            <w:r>
              <w:rPr>
                <w:rFonts w:ascii="Calibri" w:hAnsi="Calibri"/>
                <w:b/>
                <w:color w:val="475569"/>
                <w:sz w:val="20"/>
              </w:rPr>
              <w:t>Student Name</w:t>
            </w:r>
          </w:p>
        </w:tc>
        <w:tc>
          <w:tcPr>
            <w:tcW w:type="dxa" w:w="6192"/>
            <w:shd w:fill="F8FAFC"/>
            <w:tcMar>
              <w:top w:w="100" w:type="dxa"/>
              <w:bottom w:w="100" w:type="dxa"/>
              <w:left w:w="140" w:type="dxa"/>
              <w:right w:w="140" w:type="dxa"/>
            </w:tcMar>
            <w:tcBorders>
              <w:bottom w:val="single" w:sz="6" w:space="0" w:color="CBD5E1"/>
              <w:top w:val="none"/>
              <w:left w:val="none"/>
              <w:right w:val="none"/>
            </w:tcBorders>
          </w:tcPr>
          <w:p>
            <w:pPr>
              <w:spacing w:before="40" w:after="40"/>
            </w:pPr>
            <w:r>
              <w:rPr>
                <w:rFonts w:ascii="Calibri" w:hAnsi="Calibri"/>
                <w:b/>
                <w:color w:val="0F172A"/>
                <w:sz w:val="21"/>
              </w:rPr>
              <w:t>ARCHIT SAXENA</w:t>
            </w:r>
          </w:p>
        </w:tc>
      </w:tr>
      <w:tr>
        <w:tc>
          <w:tcPr>
            <w:tcW w:type="dxa" w:w="3168"/>
            <w:shd w:fill="FFFFFF"/>
            <w:tcMar>
              <w:top w:w="100" w:type="dxa"/>
              <w:bottom w:w="100" w:type="dxa"/>
              <w:left w:w="140" w:type="dxa"/>
              <w:right w:w="140" w:type="dxa"/>
            </w:tcMar>
            <w:tcBorders>
              <w:bottom w:val="single" w:sz="6" w:space="0" w:color="CBD5E1"/>
              <w:top w:val="none"/>
              <w:left w:val="none"/>
              <w:right w:val="none"/>
            </w:tcBorders>
          </w:tcPr>
          <w:p>
            <w:pPr>
              <w:spacing w:before="40" w:after="40"/>
            </w:pPr>
            <w:r>
              <w:rPr>
                <w:rFonts w:ascii="Calibri" w:hAnsi="Calibri"/>
                <w:b/>
                <w:color w:val="475569"/>
                <w:sz w:val="20"/>
              </w:rPr>
              <w:t>Registration Number</w:t>
            </w:r>
          </w:p>
        </w:tc>
        <w:tc>
          <w:tcPr>
            <w:tcW w:type="dxa" w:w="6192"/>
            <w:shd w:fill="FFFFFF"/>
            <w:tcMar>
              <w:top w:w="100" w:type="dxa"/>
              <w:bottom w:w="100" w:type="dxa"/>
              <w:left w:w="140" w:type="dxa"/>
              <w:right w:w="140" w:type="dxa"/>
            </w:tcMar>
            <w:tcBorders>
              <w:bottom w:val="single" w:sz="6" w:space="0" w:color="CBD5E1"/>
              <w:top w:val="none"/>
              <w:left w:val="none"/>
              <w:right w:val="none"/>
            </w:tcBorders>
          </w:tcPr>
          <w:p>
            <w:pPr>
              <w:spacing w:before="40" w:after="40"/>
            </w:pPr>
            <w:r>
              <w:rPr>
                <w:rFonts w:ascii="Calibri" w:hAnsi="Calibri"/>
                <w:b/>
                <w:color w:val="0F172A"/>
                <w:sz w:val="21"/>
              </w:rPr>
              <w:t>26BAI10841</w:t>
            </w:r>
          </w:p>
        </w:tc>
      </w:tr>
      <w:tr>
        <w:tc>
          <w:tcPr>
            <w:tcW w:type="dxa" w:w="3168"/>
            <w:shd w:fill="F8FAFC"/>
            <w:tcMar>
              <w:top w:w="100" w:type="dxa"/>
              <w:bottom w:w="100" w:type="dxa"/>
              <w:left w:w="140" w:type="dxa"/>
              <w:right w:w="140" w:type="dxa"/>
            </w:tcMar>
            <w:tcBorders>
              <w:bottom w:val="single" w:sz="6" w:space="0" w:color="CBD5E1"/>
              <w:top w:val="none"/>
              <w:left w:val="none"/>
              <w:right w:val="none"/>
            </w:tcBorders>
          </w:tcPr>
          <w:p>
            <w:pPr>
              <w:spacing w:before="40" w:after="40"/>
            </w:pPr>
            <w:r>
              <w:rPr>
                <w:rFonts w:ascii="Calibri" w:hAnsi="Calibri"/>
                <w:b/>
                <w:color w:val="475569"/>
                <w:sz w:val="20"/>
              </w:rPr>
              <w:t>Course &amp; Track</w:t>
            </w:r>
          </w:p>
        </w:tc>
        <w:tc>
          <w:tcPr>
            <w:tcW w:type="dxa" w:w="6192"/>
            <w:shd w:fill="F8FAFC"/>
            <w:tcMar>
              <w:top w:w="100" w:type="dxa"/>
              <w:bottom w:w="100" w:type="dxa"/>
              <w:left w:w="140" w:type="dxa"/>
              <w:right w:w="140" w:type="dxa"/>
            </w:tcMar>
            <w:tcBorders>
              <w:bottom w:val="single" w:sz="6" w:space="0" w:color="CBD5E1"/>
              <w:top w:val="none"/>
              <w:left w:val="none"/>
              <w:right w:val="none"/>
            </w:tcBorders>
          </w:tcPr>
          <w:p>
            <w:pPr>
              <w:spacing w:before="40" w:after="40"/>
            </w:pPr>
            <w:r>
              <w:rPr>
                <w:rFonts w:ascii="Calibri" w:hAnsi="Calibri"/>
                <w:color w:val="334155"/>
                <w:sz w:val="21"/>
              </w:rPr>
              <w:t>Introduction to Problem Solving (Python Essentials)</w:t>
            </w:r>
          </w:p>
        </w:tc>
      </w:tr>
      <w:tr>
        <w:tc>
          <w:tcPr>
            <w:tcW w:type="dxa" w:w="3168"/>
            <w:shd w:fill="FFFFFF"/>
            <w:tcMar>
              <w:top w:w="100" w:type="dxa"/>
              <w:bottom w:w="100" w:type="dxa"/>
              <w:left w:w="140" w:type="dxa"/>
              <w:right w:w="140" w:type="dxa"/>
            </w:tcMar>
            <w:tcBorders>
              <w:bottom w:val="single" w:sz="6" w:space="0" w:color="CBD5E1"/>
              <w:top w:val="none"/>
              <w:left w:val="none"/>
              <w:right w:val="none"/>
            </w:tcBorders>
          </w:tcPr>
          <w:p>
            <w:pPr>
              <w:spacing w:before="40" w:after="40"/>
            </w:pPr>
            <w:r>
              <w:rPr>
                <w:rFonts w:ascii="Calibri" w:hAnsi="Calibri"/>
                <w:b/>
                <w:color w:val="475569"/>
                <w:sz w:val="20"/>
              </w:rPr>
              <w:t>Project System</w:t>
            </w:r>
          </w:p>
        </w:tc>
        <w:tc>
          <w:tcPr>
            <w:tcW w:type="dxa" w:w="6192"/>
            <w:shd w:fill="FFFFFF"/>
            <w:tcMar>
              <w:top w:w="100" w:type="dxa"/>
              <w:bottom w:w="100" w:type="dxa"/>
              <w:left w:w="140" w:type="dxa"/>
              <w:right w:w="140" w:type="dxa"/>
            </w:tcMar>
            <w:tcBorders>
              <w:bottom w:val="single" w:sz="6" w:space="0" w:color="CBD5E1"/>
              <w:top w:val="none"/>
              <w:left w:val="none"/>
              <w:right w:val="none"/>
            </w:tcBorders>
          </w:tcPr>
          <w:p>
            <w:pPr>
              <w:spacing w:before="40" w:after="40"/>
            </w:pPr>
            <w:r>
              <w:rPr>
                <w:rFonts w:ascii="Calibri" w:hAnsi="Calibri"/>
                <w:color w:val="334155"/>
                <w:sz w:val="21"/>
              </w:rPr>
              <w:t>College &amp; Hostel Task Manager</w:t>
            </w:r>
          </w:p>
        </w:tc>
      </w:tr>
    </w:tbl>
    <w:p>
      <w:pPr>
        <w:spacing w:before="2800"/>
      </w:pPr>
    </w:p>
    <w:p>
      <w:pPr>
        <w:spacing w:after="0"/>
      </w:pPr>
      <w:r>
        <w:rPr>
          <w:rFonts w:ascii="Calibri" w:hAnsi="Calibri"/>
          <w:i/>
          <w:color w:val="94A3B8"/>
          <w:sz w:val="19"/>
        </w:rPr>
        <w:t>Academic Term 2026  •  Python Essentials Project Submission</w:t>
      </w:r>
    </w:p>
    <w:p>
      <w:r>
        <w:br w:type="page"/>
      </w:r>
    </w:p>
    <w:p>
      <w:pPr>
        <w:keepNext/>
        <w:spacing w:before="320" w:after="80"/>
      </w:pPr>
      <w:r>
        <w:rPr>
          <w:rFonts w:ascii="Calibri" w:hAnsi="Calibri"/>
          <w:b/>
          <w:color w:val="0F172A"/>
          <w:sz w:val="27"/>
        </w:rPr>
        <w:t>1. The Reality of Dormitory Life</w:t>
      </w:r>
    </w:p>
    <w:p>
      <w:pPr>
        <w:spacing w:before="0" w:after="120" w:line="276" w:lineRule="auto"/>
      </w:pPr>
      <w:r>
        <w:rPr>
          <w:rFonts w:ascii="Calibri" w:hAnsi="Calibri"/>
          <w:color w:val="334155"/>
          <w:sz w:val="21"/>
        </w:rPr>
        <w:t>Anyone who has spent time living in a college hostel quickly discovers that doing well academically is only half the battle. Between preparing for continuous lab evaluations, keeping up with lecture submissions, and tracking mid-semester exams, students are forced to manage an entire parallel life: running a shared room with three or four roommates. In practice, routine responsibilities like remembering who needs to buy the 20-liter drinking water can, picking up clothes from the dhobi, or checking what the mess is serving for dinner get lost in the shuffle very quickly.</w:t>
      </w:r>
    </w:p>
    <w:p>
      <w:pPr>
        <w:keepNext/>
        <w:spacing w:before="320" w:after="80"/>
      </w:pPr>
      <w:r>
        <w:rPr>
          <w:rFonts w:ascii="Calibri" w:hAnsi="Calibri"/>
          <w:b/>
          <w:color w:val="0F172A"/>
          <w:sz w:val="27"/>
        </w:rPr>
        <w:t>2. Real-World Pain Points</w:t>
      </w:r>
    </w:p>
    <w:p>
      <w:pPr>
        <w:spacing w:before="0" w:after="120" w:line="276" w:lineRule="auto"/>
      </w:pPr>
      <w:r>
        <w:rPr>
          <w:rFonts w:ascii="Calibri" w:hAnsi="Calibri"/>
          <w:color w:val="334155"/>
          <w:sz w:val="21"/>
        </w:rPr>
        <w:t>This project grew out of the exact frustrations my friends and I ran into repeatedly over the course of our semesters:</w:t>
      </w:r>
    </w:p>
    <w:p>
      <w:pPr>
        <w:keepNext/>
        <w:spacing w:before="200" w:after="60"/>
      </w:pPr>
      <w:r>
        <w:rPr>
          <w:rFonts w:ascii="Calibri" w:hAnsi="Calibri"/>
          <w:b/>
          <w:color w:val="2563EB"/>
          <w:sz w:val="23"/>
        </w:rPr>
        <w:t>2.1 Deadlines Buried in WhatsApp Groups</w:t>
      </w:r>
    </w:p>
    <w:p>
      <w:pPr>
        <w:spacing w:before="0" w:after="120" w:line="276" w:lineRule="auto"/>
      </w:pPr>
      <w:r>
        <w:rPr>
          <w:rFonts w:ascii="Calibri" w:hAnsi="Calibri"/>
          <w:color w:val="334155"/>
          <w:sz w:val="21"/>
        </w:rPr>
        <w:t>Course professors and lab instructors release assignment updates, date changes, and submission criteria across scattered group chats. Because these notices sit right alongside casual conversations, crucial deadlines slip through the cracks, resulting in unnecessary all-nighters and last-minute panic.</w:t>
      </w:r>
    </w:p>
    <w:p>
      <w:pPr>
        <w:keepNext/>
        <w:spacing w:before="200" w:after="60"/>
      </w:pPr>
      <w:r>
        <w:rPr>
          <w:rFonts w:ascii="Calibri" w:hAnsi="Calibri"/>
          <w:b/>
          <w:color w:val="2563EB"/>
          <w:sz w:val="23"/>
        </w:rPr>
        <w:t>2.2 Roommate Friction Over Daily Chores</w:t>
      </w:r>
    </w:p>
    <w:p>
      <w:pPr>
        <w:spacing w:before="0" w:after="120" w:line="276" w:lineRule="auto"/>
      </w:pPr>
      <w:r>
        <w:rPr>
          <w:rFonts w:ascii="Calibri" w:hAnsi="Calibri"/>
          <w:color w:val="334155"/>
          <w:sz w:val="21"/>
        </w:rPr>
        <w:t>In a hostel room, duties like taking out the overflowing dustbin, sweeping, or organizing water refills are usually decided through casual verbal pacts. Inevitably, people get busy, forget, or make excuses. Without a neutral, clear record of whose turn it is, one person ends up doing more than their share, which quickly strains friendships.</w:t>
      </w:r>
    </w:p>
    <w:p>
      <w:pPr>
        <w:keepNext/>
        <w:spacing w:before="200" w:after="60"/>
      </w:pPr>
      <w:r>
        <w:rPr>
          <w:rFonts w:ascii="Calibri" w:hAnsi="Calibri"/>
          <w:b/>
          <w:color w:val="2563EB"/>
          <w:sz w:val="23"/>
        </w:rPr>
        <w:t>2.3 The Laundry (Dhobi) Black Hole</w:t>
      </w:r>
    </w:p>
    <w:p>
      <w:pPr>
        <w:spacing w:before="0" w:after="120" w:line="276" w:lineRule="auto"/>
      </w:pPr>
      <w:r>
        <w:rPr>
          <w:rFonts w:ascii="Calibri" w:hAnsi="Calibri"/>
          <w:color w:val="334155"/>
          <w:sz w:val="21"/>
        </w:rPr>
        <w:t>Dropping off fifteen or twenty shirts with the campus laundry vendor relies on paper token slips or handwritten numbers. Students regularly misplace these tokens or lose track of how long their clothes have been lying at the laundry, causing delays, lost garments, and unnecessary confusion.</w:t>
      </w:r>
    </w:p>
    <w:p>
      <w:pPr>
        <w:keepNext/>
        <w:spacing w:before="200" w:after="60"/>
      </w:pPr>
      <w:r>
        <w:rPr>
          <w:rFonts w:ascii="Calibri" w:hAnsi="Calibri"/>
          <w:b/>
          <w:color w:val="2563EB"/>
          <w:sz w:val="23"/>
        </w:rPr>
        <w:t>2.4 Awkward Expense Splitting</w:t>
      </w:r>
    </w:p>
    <w:p>
      <w:pPr>
        <w:spacing w:before="0" w:after="120" w:line="276" w:lineRule="auto"/>
      </w:pPr>
      <w:r>
        <w:rPr>
          <w:rFonts w:ascii="Calibri" w:hAnsi="Calibri"/>
          <w:color w:val="334155"/>
          <w:sz w:val="21"/>
        </w:rPr>
        <w:t>Hostel life runs on shared costs—late-night canteen deliveries, bulk snacks, communal drinking water, and cleaning supplies. Typically, one person pays upfront, mentions it in passing, and assumes everyone will pay them back. Without an immediate way to log the cost and split it evenly, balances are forgotten, leaving one person out of pocket.</w:t>
      </w:r>
    </w:p>
    <w:p>
      <w:pPr>
        <w:keepNext/>
        <w:spacing w:before="320" w:after="80"/>
      </w:pPr>
      <w:r>
        <w:rPr>
          <w:rFonts w:ascii="Calibri" w:hAnsi="Calibri"/>
          <w:b/>
          <w:color w:val="0F172A"/>
          <w:sz w:val="27"/>
        </w:rPr>
        <w:t>3. Why Generic Productivity Apps Don't Work</w:t>
      </w:r>
    </w:p>
    <w:p>
      <w:pPr>
        <w:spacing w:before="0" w:after="120" w:line="276" w:lineRule="auto"/>
      </w:pPr>
      <w:r>
        <w:rPr>
          <w:rFonts w:ascii="Calibri" w:hAnsi="Calibri"/>
          <w:color w:val="334155"/>
          <w:sz w:val="21"/>
        </w:rPr>
        <w:t>Commercial productivity tools like Notion, Trello, or Todoist are designed for solo professionals or corporate sprint teams. They do not understand the messy logistics of dorm life—they do not have chore rotations, mess menu schedules, or laundry logs. They also require reliable high-speed Wi-Fi, constant logins, and clunky interfaces that take too long to update. What students actually need is a lightweight, instant terminal tool that can be opened right alongside their coding work, updated in five seconds, and relied upon completely offline.</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