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pPr>
      <w:r>
        <w:rPr>
          <w:rFonts w:ascii="Helvetica" w:hAnsi="Helvetica" w:cs="Helvetica"/>
          <w:sz w:val="48"/>
          <w:sz-cs w:val="48"/>
          <w:b/>
          <w:spacing w:val="0"/>
        </w:rPr>
        <w:t xml:space="preserve">BluePeak MediaWorks Submission</w:t>
      </w:r>
    </w:p>
    <w:p>
      <w:pPr>
        <w:spacing w:after="160"/>
      </w:pPr>
      <w:r>
        <w:rPr>
          <w:rFonts w:ascii="Helvetica" w:hAnsi="Helvetica" w:cs="Helvetica"/>
          <w:sz w:val="29"/>
          <w:sz-cs w:val="29"/>
          <w:spacing w:val="0"/>
        </w:rPr>
        <w:t xml:space="preserve">Prepared by: BluePeak MediaWorks Europe-APAC Team | Contact: Javier Mehra | Currency: EUR</w:t>
      </w:r>
    </w:p>
    <w:p>
      <w:pPr>
        <w:spacing w:after="160"/>
      </w:pPr>
      <w:r>
        <w:rPr>
          <w:rFonts w:ascii="Helvetica" w:hAnsi="Helvetica" w:cs="Helvetica"/>
          <w:sz w:val="29"/>
          <w:sz-cs w:val="29"/>
          <w:spacing w:val="0"/>
        </w:rPr>
        <w:t xml:space="preserve">RFQ Reference: RFQ-MKT-KIDS-GL-2026-001 - RFQ for global launch marketing services for new kids health drink</w:t>
      </w:r>
    </w:p>
    <w:p>
      <w:pPr>
        <w:spacing w:after="160"/>
      </w:pPr>
      <w:r>
        <w:rPr>
          <w:rFonts w:ascii="Helvetica" w:hAnsi="Helvetica" w:cs="Helvetica"/>
          <w:sz w:val="37"/>
          <w:sz-cs w:val="37"/>
          <w:b/>
          <w:spacing w:val="0"/>
        </w:rPr>
        <w:t xml:space="preserve">Executive Summary</w:t>
      </w:r>
    </w:p>
    <w:p>
      <w:pPr>
        <w:spacing w:after="160"/>
      </w:pPr>
      <w:r>
        <w:rPr>
          <w:rFonts w:ascii="Helvetica" w:hAnsi="Helvetica" w:cs="Helvetica"/>
          <w:sz w:val="29"/>
          <w:sz-cs w:val="29"/>
          <w:spacing w:val="0"/>
        </w:rPr>
        <w:t xml:space="preserve">BluePeak MediaWorks is submitting for the full integrated scope with one regional-network model that combines central strategic leadership and disciplined local-market rollout support. Our proposal is designed to score strongly on technical integration, but it carries a more premium commercial structure than leaner alternatives.</w:t>
      </w:r>
    </w:p>
    <w:p>
      <w:pPr>
        <w:spacing w:after="160"/>
      </w:pPr>
      <w:r>
        <w:rPr>
          <w:rFonts w:ascii="Helvetica" w:hAnsi="Helvetica" w:cs="Helvetica"/>
          <w:sz w:val="37"/>
          <w:sz-cs w:val="37"/>
          <w:b/>
          <w:spacing w:val="0"/>
        </w:rPr>
        <w:t xml:space="preserve">Agency Overview</w:t>
      </w:r>
    </w:p>
    <w:p>
      <w:pPr>
        <w:spacing w:after="160"/>
      </w:pPr>
      <w:r>
        <w:rPr>
          <w:rFonts w:ascii="Helvetica" w:hAnsi="Helvetica" w:cs="Helvetica"/>
          <w:sz w:val="29"/>
          <w:sz-cs w:val="29"/>
          <w:spacing w:val="0"/>
        </w:rPr>
        <w:t xml:space="preserve">BluePeak MediaWorks operates a hub-and-spoke model across Europe and APAC, with one central launch team supported by regional channel and adaptation specialists. For this assignment we would place one cross-market client partner over strategy, creative, production, paid media, and compliance coordination so the buyer receives one integrated plan even where delivery resources sit across multiple offices.</w:t>
      </w:r>
    </w:p>
    <w:p>
      <w:pPr>
        <w:spacing w:after="160"/>
      </w:pPr>
      <w:r>
        <w:rPr>
          <w:rFonts w:ascii="Helvetica" w:hAnsi="Helvetica" w:cs="Helvetica"/>
          <w:sz w:val="37"/>
          <w:sz-cs w:val="37"/>
          <w:b/>
          <w:spacing w:val="0"/>
        </w:rPr>
        <w:t xml:space="preserve">Our Pitch</w:t>
      </w:r>
    </w:p>
    <w:p>
      <w:pPr>
        <w:spacing w:after="160"/>
      </w:pPr>
      <w:r>
        <w:rPr>
          <w:rFonts w:ascii="Helvetica" w:hAnsi="Helvetica" w:cs="Helvetica"/>
          <w:sz w:val="29"/>
          <w:sz-cs w:val="29"/>
          <w:spacing w:val="0"/>
        </w:rPr>
        <w:t xml:space="preserve">Our recommended launch territory is **The Daily Edge**, a platform showing how the product helps families build repeatable, positive routines with a modern global look and a clear, claims-safe message spine. We would focus on making the campaign highly adaptable without breaking strategic consistency.</w:t>
      </w:r>
    </w:p>
    <w:p>
      <w:pPr>
        <w:spacing w:after="160"/>
      </w:pPr>
      <w:r>
        <w:rPr>
          <w:rFonts w:ascii="Helvetica" w:hAnsi="Helvetica" w:cs="Helvetica"/>
          <w:sz w:val="37"/>
          <w:sz-cs w:val="37"/>
          <w:b/>
          <w:spacing w:val="0"/>
        </w:rPr>
        <w:t xml:space="preserve">Delivery Team Snapshot</w:t>
      </w:r>
    </w:p>
    <w:p>
      <w:pPr>
        <w:ind w:left="720" w:first-line="-720"/>
        <w:spacing w:after="60"/>
      </w:pPr>
      <w:r>
        <w:rPr>
          <w:rFonts w:ascii="Helvetica" w:hAnsi="Helvetica" w:cs="Helvetica"/>
          <w:sz w:val="29"/>
          <w:sz-cs w:val="29"/>
        </w:rPr>
        <w:t xml:space="preserve"/>
        <w:tab/>
        <w:t xml:space="preserve">•</w:t>
        <w:tab/>
        <w:t xml:space="preserve"/>
      </w:r>
      <w:r>
        <w:rPr>
          <w:rFonts w:ascii="Helvetica" w:hAnsi="Helvetica" w:cs="Helvetica"/>
          <w:sz w:val="29"/>
          <w:sz-cs w:val="29"/>
          <w:spacing w:val="0"/>
        </w:rPr>
        <w:t xml:space="preserve">Javier Mehra, Client Partner: buyer-facing lead and executive escalation owner.</w:t>
      </w:r>
    </w:p>
    <w:p>
      <w:pPr>
        <w:ind w:left="720" w:first-line="-720"/>
        <w:spacing w:after="60"/>
      </w:pPr>
      <w:r>
        <w:rPr>
          <w:rFonts w:ascii="Helvetica" w:hAnsi="Helvetica" w:cs="Helvetica"/>
          <w:sz w:val="29"/>
          <w:sz-cs w:val="29"/>
        </w:rPr>
        <w:t xml:space="preserve"/>
        <w:tab/>
        <w:t xml:space="preserve">•</w:t>
        <w:tab/>
        <w:t xml:space="preserve"/>
      </w:r>
      <w:r>
        <w:rPr>
          <w:rFonts w:ascii="Helvetica" w:hAnsi="Helvetica" w:cs="Helvetica"/>
          <w:sz w:val="29"/>
          <w:sz-cs w:val="29"/>
          <w:spacing w:val="0"/>
        </w:rPr>
        <w:t xml:space="preserve">Elodie Martin, Regional Strategy Director: audience and proposition architecture.</w:t>
      </w:r>
    </w:p>
    <w:p>
      <w:pPr>
        <w:ind w:left="720" w:first-line="-720"/>
        <w:spacing w:after="60"/>
      </w:pPr>
      <w:r>
        <w:rPr>
          <w:rFonts w:ascii="Helvetica" w:hAnsi="Helvetica" w:cs="Helvetica"/>
          <w:sz w:val="29"/>
          <w:sz-cs w:val="29"/>
        </w:rPr>
        <w:t xml:space="preserve"/>
        <w:tab/>
        <w:t xml:space="preserve">•</w:t>
        <w:tab/>
        <w:t xml:space="preserve"/>
      </w:r>
      <w:r>
        <w:rPr>
          <w:rFonts w:ascii="Helvetica" w:hAnsi="Helvetica" w:cs="Helvetica"/>
          <w:sz w:val="29"/>
          <w:sz-cs w:val="29"/>
          <w:spacing w:val="0"/>
        </w:rPr>
        <w:t xml:space="preserve">Kenji Sato, Production Lead: TVC production planning, post-production, and paid-video cutdowns.</w:t>
      </w:r>
    </w:p>
    <w:p>
      <w:pPr>
        <w:ind w:left="720" w:first-line="-720"/>
        <w:spacing w:after="60"/>
      </w:pPr>
      <w:r>
        <w:rPr>
          <w:rFonts w:ascii="Helvetica" w:hAnsi="Helvetica" w:cs="Helvetica"/>
          <w:sz w:val="29"/>
          <w:sz-cs w:val="29"/>
        </w:rPr>
        <w:t xml:space="preserve"/>
        <w:tab/>
        <w:t xml:space="preserve">•</w:t>
        <w:tab/>
        <w:t xml:space="preserve"/>
      </w:r>
      <w:r>
        <w:rPr>
          <w:rFonts w:ascii="Helvetica" w:hAnsi="Helvetica" w:cs="Helvetica"/>
          <w:sz w:val="29"/>
          <w:sz-cs w:val="29"/>
          <w:spacing w:val="0"/>
        </w:rPr>
        <w:t xml:space="preserve">Farah Hussain, Social and Media Integration Lead: organic-social and paid-media coordination.</w:t>
      </w:r>
    </w:p>
    <w:p>
      <w:pPr>
        <w:ind w:left="720" w:first-line="-720"/>
        <w:spacing w:after="60"/>
      </w:pPr>
      <w:r>
        <w:rPr>
          <w:rFonts w:ascii="Helvetica" w:hAnsi="Helvetica" w:cs="Helvetica"/>
          <w:sz w:val="29"/>
          <w:sz-cs w:val="29"/>
        </w:rPr>
        <w:t xml:space="preserve"/>
        <w:tab/>
        <w:t xml:space="preserve">•</w:t>
        <w:tab/>
        <w:t xml:space="preserve"/>
      </w:r>
      <w:r>
        <w:rPr>
          <w:rFonts w:ascii="Helvetica" w:hAnsi="Helvetica" w:cs="Helvetica"/>
          <w:sz w:val="29"/>
          <w:sz-cs w:val="29"/>
          <w:spacing w:val="0"/>
        </w:rPr>
        <w:t xml:space="preserve">Clara Weiss, Regulatory Coordination Lead: regional claims-review routing and approval sign-off support.</w:t>
      </w:r>
    </w:p>
    <w:p>
      <w:pPr>
        <w:spacing w:after="160"/>
      </w:pPr>
      <w:r>
        <w:rPr>
          <w:rFonts w:ascii="Helvetica" w:hAnsi="Helvetica" w:cs="Helvetica"/>
          <w:sz w:val="37"/>
          <w:sz-cs w:val="37"/>
          <w:b/>
          <w:spacing w:val="0"/>
        </w:rPr>
        <w:t xml:space="preserve">Selected Relevant Work</w:t>
      </w:r>
    </w:p>
    <w:p>
      <w:pPr>
        <w:ind w:left="720" w:first-line="-720"/>
        <w:spacing w:after="60"/>
      </w:pPr>
      <w:r>
        <w:rPr>
          <w:rFonts w:ascii="Helvetica" w:hAnsi="Helvetica" w:cs="Helvetica"/>
          <w:sz w:val="29"/>
          <w:sz-cs w:val="29"/>
        </w:rPr>
        <w:t xml:space="preserve"/>
        <w:tab/>
        <w:t xml:space="preserve">•</w:t>
        <w:tab/>
        <w:t xml:space="preserve"/>
      </w:r>
      <w:r>
        <w:rPr>
          <w:rFonts w:ascii="Helvetica" w:hAnsi="Helvetica" w:cs="Helvetica"/>
          <w:sz w:val="29"/>
          <w:sz-cs w:val="29"/>
          <w:spacing w:val="0"/>
        </w:rPr>
        <w:t xml:space="preserve">Regional children’s dairy campaign rolled out with one central asset system and local market adaptation packs.</w:t>
      </w:r>
    </w:p>
    <w:p>
      <w:pPr>
        <w:ind w:left="720" w:first-line="-720"/>
        <w:spacing w:after="60"/>
      </w:pPr>
      <w:r>
        <w:rPr>
          <w:rFonts w:ascii="Helvetica" w:hAnsi="Helvetica" w:cs="Helvetica"/>
          <w:sz w:val="29"/>
          <w:sz-cs w:val="29"/>
        </w:rPr>
        <w:t xml:space="preserve"/>
        <w:tab/>
        <w:t xml:space="preserve">•</w:t>
        <w:tab/>
        <w:t xml:space="preserve"/>
      </w:r>
      <w:r>
        <w:rPr>
          <w:rFonts w:ascii="Helvetica" w:hAnsi="Helvetica" w:cs="Helvetica"/>
          <w:sz w:val="29"/>
          <w:sz-cs w:val="29"/>
          <w:spacing w:val="0"/>
        </w:rPr>
        <w:t xml:space="preserve">Consumer-health launch using synchronized creative, media planning, and compliance review across EMEA and Asia.</w:t>
      </w:r>
    </w:p>
    <w:p>
      <w:pPr>
        <w:ind w:left="720" w:first-line="-720"/>
        <w:spacing w:after="60"/>
      </w:pPr>
      <w:r>
        <w:rPr>
          <w:rFonts w:ascii="Helvetica" w:hAnsi="Helvetica" w:cs="Helvetica"/>
          <w:sz w:val="29"/>
          <w:sz-cs w:val="29"/>
        </w:rPr>
        <w:t xml:space="preserve"/>
        <w:tab/>
        <w:t xml:space="preserve">•</w:t>
        <w:tab/>
        <w:t xml:space="preserve"/>
      </w:r>
      <w:r>
        <w:rPr>
          <w:rFonts w:ascii="Helvetica" w:hAnsi="Helvetica" w:cs="Helvetica"/>
          <w:sz w:val="29"/>
          <w:sz-cs w:val="29"/>
          <w:spacing w:val="0"/>
        </w:rPr>
        <w:t xml:space="preserve">Family nutrition platform where paid and organic teams operated from one modular content framework.</w:t>
      </w:r>
    </w:p>
    <w:p>
      <w:pPr>
        <w:spacing w:after="160"/>
      </w:pPr>
      <w:r>
        <w:rPr>
          <w:rFonts w:ascii="Helvetica" w:hAnsi="Helvetica" w:cs="Helvetica"/>
          <w:sz w:val="37"/>
          <w:sz-cs w:val="37"/>
          <w:b/>
          <w:spacing w:val="0"/>
        </w:rPr>
        <w:t xml:space="preserve">Questionnaire Responses</w:t>
      </w:r>
    </w:p>
    <w:p>
      <w:pPr>
        <w:spacing w:after="120"/>
      </w:pPr>
      <w:r>
        <w:rPr>
          <w:rFonts w:ascii="Helvetica" w:hAnsi="Helvetica" w:cs="Helvetica"/>
          <w:sz w:val="30"/>
          <w:sz-cs w:val="30"/>
          <w:b/>
          <w:spacing w:val="0"/>
        </w:rPr>
        <w:t xml:space="preserve">q_child_compliance | Child marketing compliance</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Select one option for your capability to support child-directed advertising compliance across launch assets and approvals: (a) Yes - delivered by our organisation, (b) Yes - delivered through a named specialist partner, or (c) No. If you select (b), provide the partner name.</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Option selected: (a) Yes - delivered by our organisation. BluePeak will deliver this through our regional youth-audience policy and creative-governance team.</w:t>
      </w:r>
    </w:p>
    <w:p>
      <w:pPr>
        <w:spacing w:after="120"/>
      </w:pPr>
      <w:r>
        <w:rPr>
          <w:rFonts w:ascii="Helvetica" w:hAnsi="Helvetica" w:cs="Helvetica"/>
          <w:sz w:val="30"/>
          <w:sz-cs w:val="30"/>
          <w:b/>
          <w:spacing w:val="0"/>
        </w:rPr>
        <w:t xml:space="preserve">q_claims_review | Claims review capability</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Select one option for your capability to support product claims review for launch assets and related approvals: (a) Yes - delivered by our organisation, (b) Yes - delivered through a named specialist partner, or (c) No. If you select (b), provide the partner name.</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Option selected: (b) Yes - delivered through a named specialist partner. Named specialist partner: Veritas Claims Advisory. BluePeak will coordinate the review workflow and consolidate partner comments into the master approval tracker.</w:t>
      </w:r>
    </w:p>
    <w:p>
      <w:pPr>
        <w:spacing w:after="120"/>
      </w:pPr>
      <w:r>
        <w:rPr>
          <w:rFonts w:ascii="Helvetica" w:hAnsi="Helvetica" w:cs="Helvetica"/>
          <w:sz w:val="30"/>
          <w:sz-cs w:val="30"/>
          <w:b/>
          <w:spacing w:val="0"/>
        </w:rPr>
        <w:t xml:space="preserve">q_launch_governance | Launch governance and speed</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Provide your proposed launch governance and approval-management plan for this scope, including key milestones, critical path, approval routing, escalation approach, and the actions you will take to protect the stated launch calendar.</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BluePeak would govern the assignment through a central launch office with regional delivery pods. The milestone structure covers discovery, strategic architecture, campaign territory approval, production greenlight, content adaptation, and channel-release readiness. The critical path is managed centrally through one weekly milestone tracker, and approvals move through workstream owner review, central quality check, buyer forum, and recorded action closeout. We would protect the calendar through staged pre-reads, region-ready backup dates for production and post, and same-day escalation for any issue affecting claims wording, shoot readiness, or market adaptation timing. Where a market dependency threatens the launch, we keep the master campaign release moving and sequence local variations immediately after the core asset release.</w:t>
      </w:r>
    </w:p>
    <w:p>
      <w:pPr>
        <w:spacing w:after="120"/>
      </w:pPr>
      <w:r>
        <w:rPr>
          <w:rFonts w:ascii="Helvetica" w:hAnsi="Helvetica" w:cs="Helvetica"/>
          <w:sz w:val="30"/>
          <w:sz-cs w:val="30"/>
          <w:b/>
          <w:spacing w:val="0"/>
        </w:rPr>
        <w:t xml:space="preserve">q_integrated_delivery | Integrated delivery model</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Describe the operating model you will use to coordinate strategy, creative, TVC development and production, organic social, paid media planning and buying, compliance review, and launch program management as one integrated launch program.</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Our operating model combines one central planning cell with regional discipline specialists, so the buyer gets integrated leadership without losing execution depth. Strategy, creative, production, social, media, and compliance all share one integrated briefing template, one approval tracker, and one weekly interlock meeting chaired by the client partner. Organic and paid social are planned from the same campaign system, with content and audience logic flowing into both streams before adaptation begins. Compliance review is integrated into message development, script lock, adaptation release, and final channel sign-off. The PMO lead manages dependencies across central and local teams so the client is not left stitching together handoffs between specialist groups.</w:t>
      </w:r>
    </w:p>
    <w:p>
      <w:pPr>
        <w:spacing w:after="120"/>
      </w:pPr>
      <w:r>
        <w:rPr>
          <w:rFonts w:ascii="Helvetica" w:hAnsi="Helvetica" w:cs="Helvetica"/>
          <w:sz w:val="30"/>
          <w:sz-cs w:val="30"/>
          <w:b/>
          <w:spacing w:val="0"/>
        </w:rPr>
        <w:t xml:space="preserve">q_campaign_solution | Campaign solution quality</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Describe your proposed global launch solution across strategy, messaging, creative territory, TVC, organic social, and paid social/video, showing how the workstreams connect into one launch campaign.</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Our proposed launch solution uses **The Daily Edge** as a single campaign system that gives the product a modern, optimistic role in everyday family routines. The message architecture separates caregiver trust claims from kid-facing energy and positivity cues, allowing compliant communication without flattening the creative. The TVC would establish the master campaign world, while organic social would stretch the same territory into recurring, platform-specific rituals and short-form content themes. Paid social and video would use audience-fit edits drawn from the same narrative system and creative asset pool rather than separate campaign ideas. The result is one coherent launch narrative translated across channels with strong adaptation discipline.</w:t>
      </w:r>
    </w:p>
    <w:p>
      <w:pPr>
        <w:spacing w:after="160"/>
      </w:pPr>
      <w:r>
        <w:rPr>
          <w:rFonts w:ascii="Helvetica" w:hAnsi="Helvetica" w:cs="Helvetica"/>
          <w:sz w:val="37"/>
          <w:sz-cs w:val="37"/>
          <w:b/>
          <w:spacing w:val="0"/>
        </w:rPr>
        <w:t xml:space="preserve">Commercial Pricing Schedule</w:t>
      </w:r>
    </w:p>
    <w:p>
      <w:pPr/>
      <w:r>
        <w:rPr>
          <w:rFonts w:ascii="Helvetica" w:hAnsi="Helvetica" w:cs="Helvetica"/>
          <w:sz w:val="25"/>
          <w:sz-cs w:val="25"/>
          <w:b/>
          <w:spacing w:val="0"/>
        </w:rPr>
        <w:t xml:space="preserve">Line item ref</w:t>
      </w:r>
    </w:p>
    <w:p>
      <w:pPr/>
      <w:r>
        <w:rPr>
          <w:rFonts w:ascii="Helvetica" w:hAnsi="Helvetica" w:cs="Helvetica"/>
          <w:sz w:val="25"/>
          <w:sz-cs w:val="25"/>
          <w:b/>
          <w:spacing w:val="0"/>
        </w:rPr>
        <w:t xml:space="preserve">Line item name</w:t>
      </w:r>
    </w:p>
    <w:p>
      <w:pPr/>
      <w:r>
        <w:rPr>
          <w:rFonts w:ascii="Helvetica" w:hAnsi="Helvetica" w:cs="Helvetica"/>
          <w:sz w:val="25"/>
          <w:sz-cs w:val="25"/>
          <w:b/>
          <w:spacing w:val="0"/>
        </w:rPr>
        <w:t xml:space="preserve">Quote status</w:t>
      </w:r>
    </w:p>
    <w:p>
      <w:pPr/>
      <w:r>
        <w:rPr>
          <w:rFonts w:ascii="Helvetica" w:hAnsi="Helvetica" w:cs="Helvetica"/>
          <w:sz w:val="25"/>
          <w:sz-cs w:val="25"/>
          <w:b/>
          <w:spacing w:val="0"/>
        </w:rPr>
        <w:t xml:space="preserve">Included in line ref</w:t>
      </w:r>
    </w:p>
    <w:p>
      <w:pPr/>
      <w:r>
        <w:rPr>
          <w:rFonts w:ascii="Helvetica" w:hAnsi="Helvetica" w:cs="Helvetica"/>
          <w:sz w:val="25"/>
          <w:sz-cs w:val="25"/>
          <w:b/>
          <w:spacing w:val="0"/>
        </w:rPr>
        <w:t xml:space="preserve">Currency</w:t>
      </w:r>
    </w:p>
    <w:p>
      <w:pPr/>
      <w:r>
        <w:rPr>
          <w:rFonts w:ascii="Helvetica" w:hAnsi="Helvetica" w:cs="Helvetica"/>
          <w:sz w:val="25"/>
          <w:sz-cs w:val="25"/>
          <w:b/>
          <w:spacing w:val="0"/>
        </w:rPr>
        <w:t xml:space="preserve">Total price</w:t>
      </w:r>
    </w:p>
    <w:p>
      <w:pPr/>
      <w:r>
        <w:rPr>
          <w:rFonts w:ascii="Helvetica" w:hAnsi="Helvetica" w:cs="Helvetica"/>
          <w:sz w:val="25"/>
          <w:sz-cs w:val="25"/>
          <w:spacing w:val="0"/>
        </w:rPr>
        <w:t xml:space="preserve">li_1</w:t>
      </w:r>
    </w:p>
    <w:p>
      <w:pPr/>
      <w:r>
        <w:rPr>
          <w:rFonts w:ascii="Helvetica" w:hAnsi="Helvetica" w:cs="Helvetica"/>
          <w:sz w:val="25"/>
          <w:sz-cs w:val="25"/>
          <w:spacing w:val="0"/>
        </w:rPr>
        <w:t xml:space="preserve">Strategy &amp; Creative Development</w:t>
      </w:r>
    </w:p>
    <w:p>
      <w:pPr/>
      <w:r>
        <w:rPr>
          <w:rFonts w:ascii="Helvetica" w:hAnsi="Helvetica" w:cs="Helvetica"/>
          <w:sz w:val="25"/>
          <w:sz-cs w:val="25"/>
          <w:spacing w:val="0"/>
        </w:rPr>
        <w:t xml:space="preserve">Priced</w:t>
      </w:r>
    </w:p>
    <w:p>
      <w:pPr/>
      <w:r>
        <w:rPr>
          <w:rFonts w:ascii="Helvetica" w:hAnsi="Helvetica" w:cs="Helvetica"/>
          <w:sz w:val="25"/>
          <w:sz-cs w:val="25"/>
          <w:spacing w:val="0"/>
        </w:rPr>
        <w:t xml:space="preserve"/>
      </w:r>
    </w:p>
    <w:p>
      <w:pPr/>
      <w:r>
        <w:rPr>
          <w:rFonts w:ascii="Helvetica" w:hAnsi="Helvetica" w:cs="Helvetica"/>
          <w:sz w:val="25"/>
          <w:sz-cs w:val="25"/>
          <w:spacing w:val="0"/>
        </w:rPr>
        <w:t xml:space="preserve">EUR</w:t>
      </w:r>
    </w:p>
    <w:p>
      <w:pPr/>
      <w:r>
        <w:rPr>
          <w:rFonts w:ascii="Helvetica" w:hAnsi="Helvetica" w:cs="Helvetica"/>
          <w:sz w:val="25"/>
          <w:sz-cs w:val="25"/>
          <w:spacing w:val="0"/>
        </w:rPr>
        <w:t xml:space="preserve">330000</w:t>
      </w:r>
    </w:p>
    <w:p>
      <w:pPr/>
      <w:r>
        <w:rPr>
          <w:rFonts w:ascii="Helvetica" w:hAnsi="Helvetica" w:cs="Helvetica"/>
          <w:sz w:val="25"/>
          <w:sz-cs w:val="25"/>
          <w:spacing w:val="0"/>
        </w:rPr>
        <w:t xml:space="preserve">li_2</w:t>
      </w:r>
    </w:p>
    <w:p>
      <w:pPr/>
      <w:r>
        <w:rPr>
          <w:rFonts w:ascii="Helvetica" w:hAnsi="Helvetica" w:cs="Helvetica"/>
          <w:sz w:val="25"/>
          <w:sz-cs w:val="25"/>
          <w:spacing w:val="0"/>
        </w:rPr>
        <w:t xml:space="preserve">TVC Development</w:t>
      </w:r>
    </w:p>
    <w:p>
      <w:pPr/>
      <w:r>
        <w:rPr>
          <w:rFonts w:ascii="Helvetica" w:hAnsi="Helvetica" w:cs="Helvetica"/>
          <w:sz w:val="25"/>
          <w:sz-cs w:val="25"/>
          <w:spacing w:val="0"/>
        </w:rPr>
        <w:t xml:space="preserve">Priced</w:t>
      </w:r>
    </w:p>
    <w:p>
      <w:pPr/>
      <w:r>
        <w:rPr>
          <w:rFonts w:ascii="Helvetica" w:hAnsi="Helvetica" w:cs="Helvetica"/>
          <w:sz w:val="25"/>
          <w:sz-cs w:val="25"/>
          <w:spacing w:val="0"/>
        </w:rPr>
        <w:t xml:space="preserve"/>
      </w:r>
    </w:p>
    <w:p>
      <w:pPr/>
      <w:r>
        <w:rPr>
          <w:rFonts w:ascii="Helvetica" w:hAnsi="Helvetica" w:cs="Helvetica"/>
          <w:sz w:val="25"/>
          <w:sz-cs w:val="25"/>
          <w:spacing w:val="0"/>
        </w:rPr>
        <w:t xml:space="preserve">EUR</w:t>
      </w:r>
    </w:p>
    <w:p>
      <w:pPr/>
      <w:r>
        <w:rPr>
          <w:rFonts w:ascii="Helvetica" w:hAnsi="Helvetica" w:cs="Helvetica"/>
          <w:sz w:val="25"/>
          <w:sz-cs w:val="25"/>
          <w:spacing w:val="0"/>
        </w:rPr>
        <w:t xml:space="preserve">230000</w:t>
      </w:r>
    </w:p>
    <w:p>
      <w:pPr/>
      <w:r>
        <w:rPr>
          <w:rFonts w:ascii="Helvetica" w:hAnsi="Helvetica" w:cs="Helvetica"/>
          <w:sz w:val="25"/>
          <w:sz-cs w:val="25"/>
          <w:spacing w:val="0"/>
        </w:rPr>
        <w:t xml:space="preserve">li_3</w:t>
      </w:r>
    </w:p>
    <w:p>
      <w:pPr/>
      <w:r>
        <w:rPr>
          <w:rFonts w:ascii="Helvetica" w:hAnsi="Helvetica" w:cs="Helvetica"/>
          <w:sz w:val="25"/>
          <w:sz-cs w:val="25"/>
          <w:spacing w:val="0"/>
        </w:rPr>
        <w:t xml:space="preserve">TVC Production</w:t>
      </w:r>
    </w:p>
    <w:p>
      <w:pPr/>
      <w:r>
        <w:rPr>
          <w:rFonts w:ascii="Helvetica" w:hAnsi="Helvetica" w:cs="Helvetica"/>
          <w:sz w:val="25"/>
          <w:sz-cs w:val="25"/>
          <w:spacing w:val="0"/>
        </w:rPr>
        <w:t xml:space="preserve">Priced</w:t>
      </w:r>
    </w:p>
    <w:p>
      <w:pPr/>
      <w:r>
        <w:rPr>
          <w:rFonts w:ascii="Helvetica" w:hAnsi="Helvetica" w:cs="Helvetica"/>
          <w:sz w:val="25"/>
          <w:sz-cs w:val="25"/>
          <w:spacing w:val="0"/>
        </w:rPr>
        <w:t xml:space="preserve"/>
      </w:r>
    </w:p>
    <w:p>
      <w:pPr/>
      <w:r>
        <w:rPr>
          <w:rFonts w:ascii="Helvetica" w:hAnsi="Helvetica" w:cs="Helvetica"/>
          <w:sz w:val="25"/>
          <w:sz-cs w:val="25"/>
          <w:spacing w:val="0"/>
        </w:rPr>
        <w:t xml:space="preserve">EUR</w:t>
      </w:r>
    </w:p>
    <w:p>
      <w:pPr/>
      <w:r>
        <w:rPr>
          <w:rFonts w:ascii="Helvetica" w:hAnsi="Helvetica" w:cs="Helvetica"/>
          <w:sz w:val="25"/>
          <w:sz-cs w:val="25"/>
          <w:spacing w:val="0"/>
        </w:rPr>
        <w:t xml:space="preserve">690000</w:t>
      </w:r>
    </w:p>
    <w:p>
      <w:pPr/>
      <w:r>
        <w:rPr>
          <w:rFonts w:ascii="Helvetica" w:hAnsi="Helvetica" w:cs="Helvetica"/>
          <w:sz w:val="25"/>
          <w:sz-cs w:val="25"/>
          <w:spacing w:val="0"/>
        </w:rPr>
        <w:t xml:space="preserve">li_4</w:t>
      </w:r>
    </w:p>
    <w:p>
      <w:pPr/>
      <w:r>
        <w:rPr>
          <w:rFonts w:ascii="Helvetica" w:hAnsi="Helvetica" w:cs="Helvetica"/>
          <w:sz w:val="25"/>
          <w:sz-cs w:val="25"/>
          <w:spacing w:val="0"/>
        </w:rPr>
        <w:t xml:space="preserve">Social Organic Content</w:t>
      </w:r>
    </w:p>
    <w:p>
      <w:pPr/>
      <w:r>
        <w:rPr>
          <w:rFonts w:ascii="Helvetica" w:hAnsi="Helvetica" w:cs="Helvetica"/>
          <w:sz w:val="25"/>
          <w:sz-cs w:val="25"/>
          <w:spacing w:val="0"/>
        </w:rPr>
        <w:t xml:space="preserve">Priced</w:t>
      </w:r>
    </w:p>
    <w:p>
      <w:pPr/>
      <w:r>
        <w:rPr>
          <w:rFonts w:ascii="Helvetica" w:hAnsi="Helvetica" w:cs="Helvetica"/>
          <w:sz w:val="25"/>
          <w:sz-cs w:val="25"/>
          <w:spacing w:val="0"/>
        </w:rPr>
        <w:t xml:space="preserve"/>
      </w:r>
    </w:p>
    <w:p>
      <w:pPr/>
      <w:r>
        <w:rPr>
          <w:rFonts w:ascii="Helvetica" w:hAnsi="Helvetica" w:cs="Helvetica"/>
          <w:sz w:val="25"/>
          <w:sz-cs w:val="25"/>
          <w:spacing w:val="0"/>
        </w:rPr>
        <w:t xml:space="preserve">EUR</w:t>
      </w:r>
    </w:p>
    <w:p>
      <w:pPr/>
      <w:r>
        <w:rPr>
          <w:rFonts w:ascii="Helvetica" w:hAnsi="Helvetica" w:cs="Helvetica"/>
          <w:sz w:val="25"/>
          <w:sz-cs w:val="25"/>
          <w:spacing w:val="0"/>
        </w:rPr>
        <w:t xml:space="preserve">168000</w:t>
      </w:r>
    </w:p>
    <w:p>
      <w:pPr/>
      <w:r>
        <w:rPr>
          <w:rFonts w:ascii="Helvetica" w:hAnsi="Helvetica" w:cs="Helvetica"/>
          <w:sz w:val="25"/>
          <w:sz-cs w:val="25"/>
          <w:spacing w:val="0"/>
        </w:rPr>
        <w:t xml:space="preserve">li_5</w:t>
      </w:r>
    </w:p>
    <w:p>
      <w:pPr/>
      <w:r>
        <w:rPr>
          <w:rFonts w:ascii="Helvetica" w:hAnsi="Helvetica" w:cs="Helvetica"/>
          <w:sz w:val="25"/>
          <w:sz-cs w:val="25"/>
          <w:spacing w:val="0"/>
        </w:rPr>
        <w:t xml:space="preserve">Social Paid Media Planning</w:t>
      </w:r>
    </w:p>
    <w:p>
      <w:pPr/>
      <w:r>
        <w:rPr>
          <w:rFonts w:ascii="Helvetica" w:hAnsi="Helvetica" w:cs="Helvetica"/>
          <w:sz w:val="25"/>
          <w:sz-cs w:val="25"/>
          <w:spacing w:val="0"/>
        </w:rPr>
        <w:t xml:space="preserve">Priced</w:t>
      </w:r>
    </w:p>
    <w:p>
      <w:pPr/>
      <w:r>
        <w:rPr>
          <w:rFonts w:ascii="Helvetica" w:hAnsi="Helvetica" w:cs="Helvetica"/>
          <w:sz w:val="25"/>
          <w:sz-cs w:val="25"/>
          <w:spacing w:val="0"/>
        </w:rPr>
        <w:t xml:space="preserve"/>
      </w:r>
    </w:p>
    <w:p>
      <w:pPr/>
      <w:r>
        <w:rPr>
          <w:rFonts w:ascii="Helvetica" w:hAnsi="Helvetica" w:cs="Helvetica"/>
          <w:sz w:val="25"/>
          <w:sz-cs w:val="25"/>
          <w:spacing w:val="0"/>
        </w:rPr>
        <w:t xml:space="preserve">EUR</w:t>
      </w:r>
    </w:p>
    <w:p>
      <w:pPr/>
      <w:r>
        <w:rPr>
          <w:rFonts w:ascii="Helvetica" w:hAnsi="Helvetica" w:cs="Helvetica"/>
          <w:sz w:val="25"/>
          <w:sz-cs w:val="25"/>
          <w:spacing w:val="0"/>
        </w:rPr>
        <w:t xml:space="preserve">142000</w:t>
      </w:r>
    </w:p>
    <w:p>
      <w:pPr/>
      <w:r>
        <w:rPr>
          <w:rFonts w:ascii="Helvetica" w:hAnsi="Helvetica" w:cs="Helvetica"/>
          <w:sz w:val="25"/>
          <w:sz-cs w:val="25"/>
          <w:spacing w:val="0"/>
        </w:rPr>
        <w:t xml:space="preserve">li_6</w:t>
      </w:r>
    </w:p>
    <w:p>
      <w:pPr/>
      <w:r>
        <w:rPr>
          <w:rFonts w:ascii="Helvetica" w:hAnsi="Helvetica" w:cs="Helvetica"/>
          <w:sz w:val="25"/>
          <w:sz-cs w:val="25"/>
          <w:spacing w:val="0"/>
        </w:rPr>
        <w:t xml:space="preserve">Social Paid Media Buying &amp; Optimization</w:t>
      </w:r>
    </w:p>
    <w:p>
      <w:pPr/>
      <w:r>
        <w:rPr>
          <w:rFonts w:ascii="Helvetica" w:hAnsi="Helvetica" w:cs="Helvetica"/>
          <w:sz w:val="25"/>
          <w:sz-cs w:val="25"/>
          <w:spacing w:val="0"/>
        </w:rPr>
        <w:t xml:space="preserve">Priced</w:t>
      </w:r>
    </w:p>
    <w:p>
      <w:pPr/>
      <w:r>
        <w:rPr>
          <w:rFonts w:ascii="Helvetica" w:hAnsi="Helvetica" w:cs="Helvetica"/>
          <w:sz w:val="25"/>
          <w:sz-cs w:val="25"/>
          <w:spacing w:val="0"/>
        </w:rPr>
        <w:t xml:space="preserve"/>
      </w:r>
    </w:p>
    <w:p>
      <w:pPr/>
      <w:r>
        <w:rPr>
          <w:rFonts w:ascii="Helvetica" w:hAnsi="Helvetica" w:cs="Helvetica"/>
          <w:sz w:val="25"/>
          <w:sz-cs w:val="25"/>
          <w:spacing w:val="0"/>
        </w:rPr>
        <w:t xml:space="preserve">EUR</w:t>
      </w:r>
    </w:p>
    <w:p>
      <w:pPr/>
      <w:r>
        <w:rPr>
          <w:rFonts w:ascii="Helvetica" w:hAnsi="Helvetica" w:cs="Helvetica"/>
          <w:sz w:val="25"/>
          <w:sz-cs w:val="25"/>
          <w:spacing w:val="0"/>
        </w:rPr>
        <w:t xml:space="preserve">288000</w:t>
      </w:r>
    </w:p>
    <w:p>
      <w:pPr/>
      <w:r>
        <w:rPr>
          <w:rFonts w:ascii="Helvetica" w:hAnsi="Helvetica" w:cs="Helvetica"/>
          <w:sz w:val="25"/>
          <w:sz-cs w:val="25"/>
          <w:spacing w:val="0"/>
        </w:rPr>
        <w:t xml:space="preserve">li_7</w:t>
      </w:r>
    </w:p>
    <w:p>
      <w:pPr/>
      <w:r>
        <w:rPr>
          <w:rFonts w:ascii="Helvetica" w:hAnsi="Helvetica" w:cs="Helvetica"/>
          <w:sz w:val="25"/>
          <w:sz-cs w:val="25"/>
          <w:spacing w:val="0"/>
        </w:rPr>
        <w:t xml:space="preserve">Kids Advertising &amp; Claims Compliance Review</w:t>
      </w:r>
    </w:p>
    <w:p>
      <w:pPr/>
      <w:r>
        <w:rPr>
          <w:rFonts w:ascii="Helvetica" w:hAnsi="Helvetica" w:cs="Helvetica"/>
          <w:sz w:val="25"/>
          <w:sz-cs w:val="25"/>
          <w:spacing w:val="0"/>
        </w:rPr>
        <w:t xml:space="preserve">Priced</w:t>
      </w:r>
    </w:p>
    <w:p>
      <w:pPr/>
      <w:r>
        <w:rPr>
          <w:rFonts w:ascii="Helvetica" w:hAnsi="Helvetica" w:cs="Helvetica"/>
          <w:sz w:val="25"/>
          <w:sz-cs w:val="25"/>
          <w:spacing w:val="0"/>
        </w:rPr>
        <w:t xml:space="preserve"/>
      </w:r>
    </w:p>
    <w:p>
      <w:pPr/>
      <w:r>
        <w:rPr>
          <w:rFonts w:ascii="Helvetica" w:hAnsi="Helvetica" w:cs="Helvetica"/>
          <w:sz w:val="25"/>
          <w:sz-cs w:val="25"/>
          <w:spacing w:val="0"/>
        </w:rPr>
        <w:t xml:space="preserve">EUR</w:t>
      </w:r>
    </w:p>
    <w:p>
      <w:pPr/>
      <w:r>
        <w:rPr>
          <w:rFonts w:ascii="Helvetica" w:hAnsi="Helvetica" w:cs="Helvetica"/>
          <w:sz w:val="25"/>
          <w:sz-cs w:val="25"/>
          <w:spacing w:val="0"/>
        </w:rPr>
        <w:t xml:space="preserve">149000</w:t>
      </w:r>
    </w:p>
    <w:p>
      <w:pPr/>
      <w:r>
        <w:rPr>
          <w:rFonts w:ascii="Helvetica" w:hAnsi="Helvetica" w:cs="Helvetica"/>
          <w:sz w:val="25"/>
          <w:sz-cs w:val="25"/>
          <w:spacing w:val="0"/>
        </w:rPr>
        <w:t xml:space="preserve">li_8</w:t>
      </w:r>
    </w:p>
    <w:p>
      <w:pPr/>
      <w:r>
        <w:rPr>
          <w:rFonts w:ascii="Helvetica" w:hAnsi="Helvetica" w:cs="Helvetica"/>
          <w:sz w:val="25"/>
          <w:sz-cs w:val="25"/>
          <w:spacing w:val="0"/>
        </w:rPr>
        <w:t xml:space="preserve">Launch Program Management</w:t>
      </w:r>
    </w:p>
    <w:p>
      <w:pPr/>
      <w:r>
        <w:rPr>
          <w:rFonts w:ascii="Helvetica" w:hAnsi="Helvetica" w:cs="Helvetica"/>
          <w:sz w:val="25"/>
          <w:sz-cs w:val="25"/>
          <w:spacing w:val="0"/>
        </w:rPr>
        <w:t xml:space="preserve">Priced</w:t>
      </w:r>
    </w:p>
    <w:p>
      <w:pPr/>
      <w:r>
        <w:rPr>
          <w:rFonts w:ascii="Helvetica" w:hAnsi="Helvetica" w:cs="Helvetica"/>
          <w:sz w:val="25"/>
          <w:sz-cs w:val="25"/>
          <w:spacing w:val="0"/>
        </w:rPr>
        <w:t xml:space="preserve"/>
      </w:r>
    </w:p>
    <w:p>
      <w:pPr/>
      <w:r>
        <w:rPr>
          <w:rFonts w:ascii="Helvetica" w:hAnsi="Helvetica" w:cs="Helvetica"/>
          <w:sz w:val="25"/>
          <w:sz-cs w:val="25"/>
          <w:spacing w:val="0"/>
        </w:rPr>
        <w:t xml:space="preserve">EUR</w:t>
      </w:r>
    </w:p>
    <w:p>
      <w:pPr/>
      <w:r>
        <w:rPr>
          <w:rFonts w:ascii="Helvetica" w:hAnsi="Helvetica" w:cs="Helvetica"/>
          <w:sz w:val="25"/>
          <w:sz-cs w:val="25"/>
          <w:spacing w:val="0"/>
        </w:rPr>
        <w:t xml:space="preserve">221000</w:t>
      </w:r>
    </w:p>
    <w:p>
      <w:pPr>
        <w:spacing w:after="160"/>
      </w:pPr>
      <w:r>
        <w:rPr>
          <w:rFonts w:ascii="Helvetica" w:hAnsi="Helvetica" w:cs="Helvetica"/>
          <w:sz w:val="37"/>
          <w:sz-cs w:val="37"/>
          <w:b/>
          <w:spacing w:val="0"/>
        </w:rPr>
        <w:t xml:space="preserve">Commercial Pricing Detail</w:t>
      </w:r>
    </w:p>
    <w:p>
      <w:pPr/>
      <w:r>
        <w:rPr>
          <w:rFonts w:ascii="Helvetica" w:hAnsi="Helvetica" w:cs="Helvetica"/>
          <w:sz w:val="25"/>
          <w:sz-cs w:val="25"/>
          <w:b/>
          <w:spacing w:val="0"/>
        </w:rPr>
        <w:t xml:space="preserve">Line item ref</w:t>
      </w:r>
    </w:p>
    <w:p>
      <w:pPr/>
      <w:r>
        <w:rPr>
          <w:rFonts w:ascii="Helvetica" w:hAnsi="Helvetica" w:cs="Helvetica"/>
          <w:sz w:val="25"/>
          <w:sz-cs w:val="25"/>
          <w:b/>
          <w:spacing w:val="0"/>
        </w:rPr>
        <w:t xml:space="preserve">Quantity</w:t>
      </w:r>
    </w:p>
    <w:p>
      <w:pPr/>
      <w:r>
        <w:rPr>
          <w:rFonts w:ascii="Helvetica" w:hAnsi="Helvetica" w:cs="Helvetica"/>
          <w:sz w:val="25"/>
          <w:sz-cs w:val="25"/>
          <w:b/>
          <w:spacing w:val="0"/>
        </w:rPr>
        <w:t xml:space="preserve">UOM</w:t>
      </w:r>
    </w:p>
    <w:p>
      <w:pPr/>
      <w:r>
        <w:rPr>
          <w:rFonts w:ascii="Helvetica" w:hAnsi="Helvetica" w:cs="Helvetica"/>
          <w:sz w:val="25"/>
          <w:sz-cs w:val="25"/>
          <w:b/>
          <w:spacing w:val="0"/>
        </w:rPr>
        <w:t xml:space="preserve">Exclusions or assumptions</w:t>
      </w:r>
    </w:p>
    <w:p>
      <w:pPr/>
      <w:r>
        <w:rPr>
          <w:rFonts w:ascii="Helvetica" w:hAnsi="Helvetica" w:cs="Helvetica"/>
          <w:sz w:val="25"/>
          <w:sz-cs w:val="25"/>
          <w:spacing w:val="0"/>
        </w:rPr>
        <w:t xml:space="preserve">li_1</w:t>
      </w:r>
    </w:p>
    <w:p>
      <w:pPr/>
      <w:r>
        <w:rPr>
          <w:rFonts w:ascii="Helvetica" w:hAnsi="Helvetica" w:cs="Helvetica"/>
          <w:sz w:val="25"/>
          <w:sz-cs w:val="25"/>
          <w:spacing w:val="0"/>
        </w:rPr>
        <w:t xml:space="preserve">1</w:t>
      </w:r>
    </w:p>
    <w:p>
      <w:pPr/>
      <w:r>
        <w:rPr>
          <w:rFonts w:ascii="Helvetica" w:hAnsi="Helvetica" w:cs="Helvetica"/>
          <w:sz w:val="25"/>
          <w:sz-cs w:val="25"/>
          <w:spacing w:val="0"/>
        </w:rPr>
        <w:t xml:space="preserve">Lot</w:t>
      </w:r>
    </w:p>
    <w:p>
      <w:pPr/>
      <w:r>
        <w:rPr>
          <w:rFonts w:ascii="Helvetica" w:hAnsi="Helvetica" w:cs="Helvetica"/>
          <w:sz w:val="25"/>
          <w:sz-cs w:val="25"/>
          <w:spacing w:val="0"/>
        </w:rPr>
        <w:t xml:space="preserve">Central strategy plus regional adaptation planning included.</w:t>
      </w:r>
    </w:p>
    <w:p>
      <w:pPr/>
      <w:r>
        <w:rPr>
          <w:rFonts w:ascii="Helvetica" w:hAnsi="Helvetica" w:cs="Helvetica"/>
          <w:sz w:val="25"/>
          <w:sz-cs w:val="25"/>
          <w:spacing w:val="0"/>
        </w:rPr>
        <w:t xml:space="preserve">li_2</w:t>
      </w:r>
    </w:p>
    <w:p>
      <w:pPr/>
      <w:r>
        <w:rPr>
          <w:rFonts w:ascii="Helvetica" w:hAnsi="Helvetica" w:cs="Helvetica"/>
          <w:sz w:val="25"/>
          <w:sz-cs w:val="25"/>
          <w:spacing w:val="0"/>
        </w:rPr>
        <w:t xml:space="preserve">1</w:t>
      </w:r>
    </w:p>
    <w:p>
      <w:pPr/>
      <w:r>
        <w:rPr>
          <w:rFonts w:ascii="Helvetica" w:hAnsi="Helvetica" w:cs="Helvetica"/>
          <w:sz w:val="25"/>
          <w:sz-cs w:val="25"/>
          <w:spacing w:val="0"/>
        </w:rPr>
        <w:t xml:space="preserve">Lot</w:t>
      </w:r>
    </w:p>
    <w:p>
      <w:pPr/>
      <w:r>
        <w:rPr>
          <w:rFonts w:ascii="Helvetica" w:hAnsi="Helvetica" w:cs="Helvetica"/>
          <w:sz w:val="25"/>
          <w:sz-cs w:val="25"/>
          <w:spacing w:val="0"/>
        </w:rPr>
        <w:t xml:space="preserve">Includes concept, script, storyboard, and pre-production creative.</w:t>
      </w:r>
    </w:p>
    <w:p>
      <w:pPr/>
      <w:r>
        <w:rPr>
          <w:rFonts w:ascii="Helvetica" w:hAnsi="Helvetica" w:cs="Helvetica"/>
          <w:sz w:val="25"/>
          <w:sz-cs w:val="25"/>
          <w:spacing w:val="0"/>
        </w:rPr>
        <w:t xml:space="preserve">li_3</w:t>
      </w:r>
    </w:p>
    <w:p>
      <w:pPr/>
      <w:r>
        <w:rPr>
          <w:rFonts w:ascii="Helvetica" w:hAnsi="Helvetica" w:cs="Helvetica"/>
          <w:sz w:val="25"/>
          <w:sz-cs w:val="25"/>
          <w:spacing w:val="0"/>
        </w:rPr>
        <w:t xml:space="preserve">1</w:t>
      </w:r>
    </w:p>
    <w:p>
      <w:pPr/>
      <w:r>
        <w:rPr>
          <w:rFonts w:ascii="Helvetica" w:hAnsi="Helvetica" w:cs="Helvetica"/>
          <w:sz w:val="25"/>
          <w:sz-cs w:val="25"/>
          <w:spacing w:val="0"/>
        </w:rPr>
        <w:t xml:space="preserve">Lot</w:t>
      </w:r>
    </w:p>
    <w:p>
      <w:pPr/>
      <w:r>
        <w:rPr>
          <w:rFonts w:ascii="Helvetica" w:hAnsi="Helvetica" w:cs="Helvetica"/>
          <w:sz w:val="25"/>
          <w:sz-cs w:val="25"/>
          <w:spacing w:val="0"/>
        </w:rPr>
        <w:t xml:space="preserve">Production fee excludes celebrity talent, extraordinary location premiums, and optional music-rights uplift.</w:t>
      </w:r>
    </w:p>
    <w:p>
      <w:pPr/>
      <w:r>
        <w:rPr>
          <w:rFonts w:ascii="Helvetica" w:hAnsi="Helvetica" w:cs="Helvetica"/>
          <w:sz w:val="25"/>
          <w:sz-cs w:val="25"/>
          <w:spacing w:val="0"/>
        </w:rPr>
        <w:t xml:space="preserve">li_4</w:t>
      </w:r>
    </w:p>
    <w:p>
      <w:pPr/>
      <w:r>
        <w:rPr>
          <w:rFonts w:ascii="Helvetica" w:hAnsi="Helvetica" w:cs="Helvetica"/>
          <w:sz w:val="25"/>
          <w:sz-cs w:val="25"/>
          <w:spacing w:val="0"/>
        </w:rPr>
        <w:t xml:space="preserve">1</w:t>
      </w:r>
    </w:p>
    <w:p>
      <w:pPr/>
      <w:r>
        <w:rPr>
          <w:rFonts w:ascii="Helvetica" w:hAnsi="Helvetica" w:cs="Helvetica"/>
          <w:sz w:val="25"/>
          <w:sz-cs w:val="25"/>
          <w:spacing w:val="0"/>
        </w:rPr>
        <w:t xml:space="preserve">Lot</w:t>
      </w:r>
    </w:p>
    <w:p>
      <w:pPr/>
      <w:r>
        <w:rPr>
          <w:rFonts w:ascii="Helvetica" w:hAnsi="Helvetica" w:cs="Helvetica"/>
          <w:sz w:val="25"/>
          <w:sz-cs w:val="25"/>
          <w:spacing w:val="0"/>
        </w:rPr>
        <w:t xml:space="preserve">Includes regional content adaptation for priority launch markets only.</w:t>
      </w:r>
    </w:p>
    <w:p>
      <w:pPr/>
      <w:r>
        <w:rPr>
          <w:rFonts w:ascii="Helvetica" w:hAnsi="Helvetica" w:cs="Helvetica"/>
          <w:sz w:val="25"/>
          <w:sz-cs w:val="25"/>
          <w:spacing w:val="0"/>
        </w:rPr>
        <w:t xml:space="preserve">li_5</w:t>
      </w:r>
    </w:p>
    <w:p>
      <w:pPr/>
      <w:r>
        <w:rPr>
          <w:rFonts w:ascii="Helvetica" w:hAnsi="Helvetica" w:cs="Helvetica"/>
          <w:sz w:val="25"/>
          <w:sz-cs w:val="25"/>
          <w:spacing w:val="0"/>
        </w:rPr>
        <w:t xml:space="preserve">1</w:t>
      </w:r>
    </w:p>
    <w:p>
      <w:pPr/>
      <w:r>
        <w:rPr>
          <w:rFonts w:ascii="Helvetica" w:hAnsi="Helvetica" w:cs="Helvetica"/>
          <w:sz w:val="25"/>
          <w:sz-cs w:val="25"/>
          <w:spacing w:val="0"/>
        </w:rPr>
        <w:t xml:space="preserve">Lot</w:t>
      </w:r>
    </w:p>
    <w:p>
      <w:pPr/>
      <w:r>
        <w:rPr>
          <w:rFonts w:ascii="Helvetica" w:hAnsi="Helvetica" w:cs="Helvetica"/>
          <w:sz w:val="25"/>
          <w:sz-cs w:val="25"/>
          <w:spacing w:val="0"/>
        </w:rPr>
        <w:t xml:space="preserve">Includes paid channel strategy and launch phasing plan.</w:t>
      </w:r>
    </w:p>
    <w:p>
      <w:pPr/>
      <w:r>
        <w:rPr>
          <w:rFonts w:ascii="Helvetica" w:hAnsi="Helvetica" w:cs="Helvetica"/>
          <w:sz w:val="25"/>
          <w:sz-cs w:val="25"/>
          <w:spacing w:val="0"/>
        </w:rPr>
        <w:t xml:space="preserve">li_6</w:t>
      </w:r>
    </w:p>
    <w:p>
      <w:pPr/>
      <w:r>
        <w:rPr>
          <w:rFonts w:ascii="Helvetica" w:hAnsi="Helvetica" w:cs="Helvetica"/>
          <w:sz w:val="25"/>
          <w:sz-cs w:val="25"/>
          <w:spacing w:val="0"/>
        </w:rPr>
        <w:t xml:space="preserve">1</w:t>
      </w:r>
    </w:p>
    <w:p>
      <w:pPr/>
      <w:r>
        <w:rPr>
          <w:rFonts w:ascii="Helvetica" w:hAnsi="Helvetica" w:cs="Helvetica"/>
          <w:sz w:val="25"/>
          <w:sz-cs w:val="25"/>
          <w:spacing w:val="0"/>
        </w:rPr>
        <w:t xml:space="preserve">Lot</w:t>
      </w:r>
    </w:p>
    <w:p>
      <w:pPr/>
      <w:r>
        <w:rPr>
          <w:rFonts w:ascii="Helvetica" w:hAnsi="Helvetica" w:cs="Helvetica"/>
          <w:sz w:val="25"/>
          <w:sz-cs w:val="25"/>
          <w:spacing w:val="0"/>
        </w:rPr>
        <w:t xml:space="preserve">Working media spend excluded; fee covers buying, trafficking, and optimization.</w:t>
      </w:r>
    </w:p>
    <w:p>
      <w:pPr/>
      <w:r>
        <w:rPr>
          <w:rFonts w:ascii="Helvetica" w:hAnsi="Helvetica" w:cs="Helvetica"/>
          <w:sz w:val="25"/>
          <w:sz-cs w:val="25"/>
          <w:spacing w:val="0"/>
        </w:rPr>
        <w:t xml:space="preserve">li_7</w:t>
      </w:r>
    </w:p>
    <w:p>
      <w:pPr/>
      <w:r>
        <w:rPr>
          <w:rFonts w:ascii="Helvetica" w:hAnsi="Helvetica" w:cs="Helvetica"/>
          <w:sz w:val="25"/>
          <w:sz-cs w:val="25"/>
          <w:spacing w:val="0"/>
        </w:rPr>
        <w:t xml:space="preserve">1</w:t>
      </w:r>
    </w:p>
    <w:p>
      <w:pPr/>
      <w:r>
        <w:rPr>
          <w:rFonts w:ascii="Helvetica" w:hAnsi="Helvetica" w:cs="Helvetica"/>
          <w:sz w:val="25"/>
          <w:sz-cs w:val="25"/>
          <w:spacing w:val="0"/>
        </w:rPr>
        <w:t xml:space="preserve">Lot</w:t>
      </w:r>
    </w:p>
    <w:p>
      <w:pPr/>
      <w:r>
        <w:rPr>
          <w:rFonts w:ascii="Helvetica" w:hAnsi="Helvetica" w:cs="Helvetica"/>
          <w:sz w:val="25"/>
          <w:sz-cs w:val="25"/>
          <w:spacing w:val="0"/>
        </w:rPr>
        <w:t xml:space="preserve">Includes BluePeak coordination plus Veritas Claims Advisory review scope.</w:t>
      </w:r>
    </w:p>
    <w:p>
      <w:pPr/>
      <w:r>
        <w:rPr>
          <w:rFonts w:ascii="Helvetica" w:hAnsi="Helvetica" w:cs="Helvetica"/>
          <w:sz w:val="25"/>
          <w:sz-cs w:val="25"/>
          <w:spacing w:val="0"/>
        </w:rPr>
        <w:t xml:space="preserve">li_8</w:t>
      </w:r>
    </w:p>
    <w:p>
      <w:pPr/>
      <w:r>
        <w:rPr>
          <w:rFonts w:ascii="Helvetica" w:hAnsi="Helvetica" w:cs="Helvetica"/>
          <w:sz w:val="25"/>
          <w:sz-cs w:val="25"/>
          <w:spacing w:val="0"/>
        </w:rPr>
        <w:t xml:space="preserve">1</w:t>
      </w:r>
    </w:p>
    <w:p>
      <w:pPr/>
      <w:r>
        <w:rPr>
          <w:rFonts w:ascii="Helvetica" w:hAnsi="Helvetica" w:cs="Helvetica"/>
          <w:sz w:val="25"/>
          <w:sz-cs w:val="25"/>
          <w:spacing w:val="0"/>
        </w:rPr>
        <w:t xml:space="preserve">Lot</w:t>
      </w:r>
    </w:p>
    <w:p>
      <w:pPr/>
      <w:r>
        <w:rPr>
          <w:rFonts w:ascii="Helvetica" w:hAnsi="Helvetica" w:cs="Helvetica"/>
          <w:sz w:val="25"/>
          <w:sz-cs w:val="25"/>
          <w:spacing w:val="0"/>
        </w:rPr>
        <w:t xml:space="preserve">Includes PMO reporting, market coordination, and steering governance.</w:t>
      </w:r>
    </w:p>
    <w:p>
      <w:pPr>
        <w:spacing w:after="160"/>
      </w:pPr>
      <w:r>
        <w:rPr>
          <w:rFonts w:ascii="Helvetica" w:hAnsi="Helvetica" w:cs="Helvetica"/>
          <w:sz w:val="37"/>
          <w:sz-cs w:val="37"/>
          <w:b/>
          <w:spacing w:val="0"/>
        </w:rPr>
        <w:t xml:space="preserve">Closing Note</w:t>
      </w:r>
    </w:p>
    <w:p>
      <w:pPr>
        <w:spacing w:after="160"/>
      </w:pPr>
      <w:r>
        <w:rPr>
          <w:rFonts w:ascii="Helvetica" w:hAnsi="Helvetica" w:cs="Helvetica"/>
          <w:sz w:val="29"/>
          <w:sz-cs w:val="29"/>
          <w:spacing w:val="0"/>
        </w:rPr>
        <w:t xml:space="preserve">BluePeak believes this offer gives the buyer a very strong technical operating model and a global launch structure that can scale cleanly across markets. Our commercial model reflects the heavier regional coordination footprint embedded in the proposal.</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