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8"/>
          <w:sz-cs w:val="48"/>
          <w:b/>
          <w:spacing w:val="0"/>
        </w:rPr>
        <w:t xml:space="preserve">LaunchLoop Collective Submission</w:t>
      </w:r>
    </w:p>
    <w:p>
      <w:pPr>
        <w:spacing w:after="160"/>
      </w:pPr>
      <w:r>
        <w:rPr>
          <w:rFonts w:ascii="Helvetica" w:hAnsi="Helvetica" w:cs="Helvetica"/>
          <w:sz w:val="29"/>
          <w:sz-cs w:val="29"/>
          <w:spacing w:val="0"/>
        </w:rPr>
        <w:t xml:space="preserve">Prepared by: LaunchLoop Collective | Contact: Anita Rao | Currency: INR</w:t>
      </w:r>
    </w:p>
    <w:p>
      <w:pPr>
        <w:spacing w:after="160"/>
      </w:pPr>
      <w:r>
        <w:rPr>
          <w:rFonts w:ascii="Helvetica" w:hAnsi="Helvetica" w:cs="Helvetica"/>
          <w:sz w:val="29"/>
          <w:sz-cs w:val="29"/>
          <w:spacing w:val="0"/>
        </w:rPr>
        <w:t xml:space="preserve">RFQ Reference: RFQ-MKT-KIDS-GL-2026-001 - RFQ for global launch marketing services for new kids health drink</w:t>
      </w:r>
    </w:p>
    <w:p>
      <w:pPr>
        <w:spacing w:after="160"/>
      </w:pPr>
      <w:r>
        <w:rPr>
          <w:rFonts w:ascii="Helvetica" w:hAnsi="Helvetica" w:cs="Helvetica"/>
          <w:sz w:val="37"/>
          <w:sz-cs w:val="37"/>
          <w:b/>
          <w:spacing w:val="0"/>
        </w:rPr>
        <w:t xml:space="preserve">Executive Note</w:t>
      </w:r>
    </w:p>
    <w:p>
      <w:pPr>
        <w:spacing w:after="160"/>
      </w:pPr>
      <w:r>
        <w:rPr>
          <w:rFonts w:ascii="Helvetica" w:hAnsi="Helvetica" w:cs="Helvetica"/>
          <w:sz w:val="29"/>
          <w:sz-cs w:val="29"/>
          <w:spacing w:val="0"/>
        </w:rPr>
        <w:t xml:space="preserve">This response covers the exact AI-generated questionnaire, the requested line items, and the commercial schedule expectations from the RFQ package.</w:t>
      </w:r>
    </w:p>
    <w:p>
      <w:pPr>
        <w:spacing w:after="160"/>
      </w:pPr>
      <w:r>
        <w:rPr>
          <w:rFonts w:ascii="Helvetica" w:hAnsi="Helvetica" w:cs="Helvetica"/>
          <w:sz w:val="37"/>
          <w:sz-cs w:val="37"/>
          <w:b/>
          <w:spacing w:val="0"/>
        </w:rPr>
        <w:t xml:space="preserve">Questionnaire Responses</w:t>
      </w:r>
    </w:p>
    <w:p>
      <w:pPr>
        <w:spacing w:after="120"/>
      </w:pPr>
      <w:r>
        <w:rPr>
          <w:rFonts w:ascii="Helvetica" w:hAnsi="Helvetica" w:cs="Helvetica"/>
          <w:sz w:val="30"/>
          <w:sz-cs w:val="30"/>
          <w:b/>
          <w:spacing w:val="0"/>
        </w:rPr>
        <w:t xml:space="preserve">q_m1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can support child-directed advertising for this program. Answer Yes or No, and name the team or function that will provide this support.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Support for child-directed advertising would be coordinated by our campaign operations lead and creative supervisor.</w:t>
      </w:r>
    </w:p>
    <w:p>
      <w:pPr>
        <w:spacing w:after="120"/>
      </w:pPr>
      <w:r>
        <w:rPr>
          <w:rFonts w:ascii="Helvetica" w:hAnsi="Helvetica" w:cs="Helvetica"/>
          <w:sz w:val="30"/>
          <w:sz-cs w:val="30"/>
          <w:b/>
          <w:spacing w:val="0"/>
        </w:rPr>
        <w:t xml:space="preserve">q_m2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can support claims review for this program. Answer Yes or No, and name the team or function that will provide this support.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No. We do not maintain a dedicated claims review capability and would require the buyer to appoint external claims counsel for final approval.</w:t>
      </w:r>
    </w:p>
    <w:p>
      <w:pPr>
        <w:spacing w:after="120"/>
      </w:pPr>
      <w:r>
        <w:rPr>
          <w:rFonts w:ascii="Helvetica" w:hAnsi="Helvetica" w:cs="Helvetica"/>
          <w:sz w:val="30"/>
          <w:sz-cs w:val="30"/>
          <w:b/>
          <w:spacing w:val="0"/>
        </w:rPr>
        <w:t xml:space="preserve">q_m3</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the full name, title, and accountable role of the engagement lead who would be responsible for this RFQ.</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Anita Rao, Founder and Account Lead. Anita would oversee commercial coordination and buyer communication.</w:t>
      </w:r>
    </w:p>
    <w:p>
      <w:pPr>
        <w:spacing w:after="120"/>
      </w:pPr>
      <w:r>
        <w:rPr>
          <w:rFonts w:ascii="Helvetica" w:hAnsi="Helvetica" w:cs="Helvetica"/>
          <w:sz w:val="30"/>
          <w:sz-cs w:val="30"/>
          <w:b/>
          <w:spacing w:val="0"/>
        </w:rPr>
        <w:t xml:space="preserve">q_m4</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your baseline launch governance approach, including the meeting cadence, approval path, and escalation route you would use for this engagement.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governance approach is lightweight: a weekly update call, milestone tracker, and direct escalation to Anita for urgent decisions.</w:t>
      </w:r>
    </w:p>
    <w:p>
      <w:pPr>
        <w:spacing w:after="120"/>
      </w:pPr>
      <w:r>
        <w:rPr>
          <w:rFonts w:ascii="Helvetica" w:hAnsi="Helvetica" w:cs="Helvetica"/>
          <w:sz w:val="30"/>
          <w:sz-cs w:val="30"/>
          <w:b/>
          <w:spacing w:val="0"/>
        </w:rPr>
        <w:t xml:space="preserve">q_m5</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State whether the launch timelines in this RFQ are achievable for your proposed delivery model. Select one: Achievable or Not achievable.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Not achievable.</w:t>
      </w:r>
    </w:p>
    <w:p>
      <w:pPr>
        <w:spacing w:after="120"/>
      </w:pPr>
      <w:r>
        <w:rPr>
          <w:rFonts w:ascii="Helvetica" w:hAnsi="Helvetica" w:cs="Helvetica"/>
          <w:sz w:val="30"/>
          <w:sz-cs w:val="30"/>
          <w:b/>
          <w:spacing w:val="0"/>
        </w:rPr>
        <w:t xml:space="preserve">q_m6</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List the key dependencies, buyer inputs, or approval assumptions that sit behind your stated launch timeline position.</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The stated launch dates would require shortened approval rounds, simplified production scope, and direct buyer turnaround within 24 hours. Without those conditions, we would expect slippage against the current calendar.</w:t>
      </w:r>
    </w:p>
    <w:p>
      <w:pPr>
        <w:spacing w:after="120"/>
      </w:pPr>
      <w:r>
        <w:rPr>
          <w:rFonts w:ascii="Helvetica" w:hAnsi="Helvetica" w:cs="Helvetica"/>
          <w:sz w:val="30"/>
          <w:sz-cs w:val="30"/>
          <w:b/>
          <w:spacing w:val="0"/>
        </w:rPr>
        <w:t xml:space="preserve">q_t1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operating model for managing child-directed advertising and claims compliance across strategy, creative, TVC, social, media activation, and final launch approvals. Cover review checkpoints, decision ownership, and escalation handling.</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manage compliance by routing scripts and claims language to buyer-appointed counsel before release. Internally we can maintain a working checklist, but the formal review responsibility would sit outside our team. This keeps cost low but also means the buyer would need to manage final claim clearance more actively.</w:t>
      </w:r>
    </w:p>
    <w:p>
      <w:pPr>
        <w:spacing w:after="120"/>
      </w:pPr>
      <w:r>
        <w:rPr>
          <w:rFonts w:ascii="Helvetica" w:hAnsi="Helvetica" w:cs="Helvetica"/>
          <w:sz w:val="30"/>
          <w:sz-cs w:val="30"/>
          <w:b/>
          <w:spacing w:val="0"/>
        </w:rPr>
        <w:t xml:space="preserve">q_t2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how you would manage approvals, dependencies, and critical path activities so that the launch calendar can be met. Include turnaround assumptions, delay management, and how you would protect key milestones.</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speed plan depends on minimizing iterations and holding one decision-maker per milestone. If approvals expand or additional markets are added, we would recommend reducing launch deliverables or staggering the rollout because we do not have reserve capacity built into the base plan.</w:t>
      </w:r>
    </w:p>
    <w:p>
      <w:pPr>
        <w:spacing w:after="160"/>
      </w:pPr>
      <w:r>
        <w:rPr>
          <w:rFonts w:ascii="Helvetica" w:hAnsi="Helvetica" w:cs="Helvetica"/>
          <w:sz w:val="37"/>
          <w:sz-cs w:val="37"/>
          <w:b/>
          <w:spacing w:val="0"/>
        </w:rPr>
        <w:t xml:space="preserve">Additional Strategy and Creative Response</w:t>
      </w:r>
    </w:p>
    <w:p>
      <w:pPr>
        <w:spacing w:after="160"/>
      </w:pPr>
      <w:r>
        <w:rPr>
          <w:rFonts w:ascii="Helvetica" w:hAnsi="Helvetica" w:cs="Helvetica"/>
          <w:sz w:val="29"/>
          <w:sz-cs w:val="29"/>
          <w:spacing w:val="0"/>
        </w:rPr>
        <w:t xml:space="preserve">Our strategy and creative approach is built around a bold, digital-first campaign platform that can be produced efficiently with a lean team. It is best suited to a narrower launch scope and faster-turn content model rather than a heavily governed multi-market program.</w:t>
      </w:r>
    </w:p>
    <w:p>
      <w:pPr>
        <w:spacing w:after="160"/>
      </w:pPr>
      <w:r>
        <w:rPr>
          <w:rFonts w:ascii="Helvetica" w:hAnsi="Helvetica" w:cs="Helvetica"/>
          <w:sz w:val="37"/>
          <w:sz-cs w:val="37"/>
          <w:b/>
          <w:spacing w:val="0"/>
        </w:rPr>
        <w:t xml:space="preserve">Commercial Pricing Schedule</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Line Item Name</w:t>
      </w:r>
    </w:p>
    <w:p>
      <w:pPr/>
      <w:r>
        <w:rPr>
          <w:rFonts w:ascii="Helvetica" w:hAnsi="Helvetica" w:cs="Helvetica"/>
          <w:sz w:val="25"/>
          <w:sz-cs w:val="25"/>
          <w:b/>
          <w:spacing w:val="0"/>
        </w:rPr>
        <w:t xml:space="preserve">Pricing Treatment</w:t>
      </w:r>
    </w:p>
    <w:p>
      <w:pPr/>
      <w:r>
        <w:rPr>
          <w:rFonts w:ascii="Helvetica" w:hAnsi="Helvetica" w:cs="Helvetica"/>
          <w:sz w:val="25"/>
          <w:sz-cs w:val="25"/>
          <w:b/>
          <w:spacing w:val="0"/>
        </w:rPr>
        <w:t xml:space="preserve">Quoted Price</w:t>
      </w:r>
    </w:p>
    <w:p>
      <w:pPr/>
      <w:r>
        <w:rPr>
          <w:rFonts w:ascii="Helvetica" w:hAnsi="Helvetica" w:cs="Helvetica"/>
          <w:sz w:val="25"/>
          <w:sz-cs w:val="25"/>
          <w:b/>
          <w:spacing w:val="0"/>
        </w:rPr>
        <w:t xml:space="preserve">Notes</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Strategy &amp; Creative Development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18,000,000</w:t>
      </w:r>
    </w:p>
    <w:p>
      <w:pPr/>
      <w:r>
        <w:rPr>
          <w:rFonts w:ascii="Helvetica" w:hAnsi="Helvetica" w:cs="Helvetica"/>
          <w:sz w:val="25"/>
          <w:sz-cs w:val="25"/>
          <w:spacing w:val="0"/>
        </w:rPr>
        <w:t xml:space="preserve">Lean strategic development.</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TVC Development</w:t>
      </w:r>
    </w:p>
    <w:p>
      <w:pPr/>
      <w:r>
        <w:rPr>
          <w:rFonts w:ascii="Helvetica" w:hAnsi="Helvetica" w:cs="Helvetica"/>
          <w:sz w:val="25"/>
          <w:sz-cs w:val="25"/>
          <w:spacing w:val="0"/>
        </w:rPr>
        <w:t xml:space="preserve">Bundled</w:t>
      </w:r>
    </w:p>
    <w:p>
      <w:pPr/>
      <w:r>
        <w:rPr>
          <w:rFonts w:ascii="Helvetica" w:hAnsi="Helvetica" w:cs="Helvetica"/>
          <w:sz w:val="25"/>
          <w:sz-cs w:val="25"/>
          <w:spacing w:val="0"/>
        </w:rPr>
        <w:t xml:space="preserve">INR 9,500,000</w:t>
      </w:r>
    </w:p>
    <w:p>
      <w:pPr/>
      <w:r>
        <w:rPr>
          <w:rFonts w:ascii="Helvetica" w:hAnsi="Helvetica" w:cs="Helvetica"/>
          <w:sz w:val="25"/>
          <w:sz-cs w:val="25"/>
          <w:spacing w:val="0"/>
        </w:rPr>
        <w:t xml:space="preserve">Concept and pre-production creative.</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TVC Production</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34,000,000</w:t>
      </w:r>
    </w:p>
    <w:p>
      <w:pPr/>
      <w:r>
        <w:rPr>
          <w:rFonts w:ascii="Helvetica" w:hAnsi="Helvetica" w:cs="Helvetica"/>
          <w:sz w:val="25"/>
          <w:sz-cs w:val="25"/>
          <w:spacing w:val="0"/>
        </w:rPr>
        <w:t xml:space="preserve">Production and edit.</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Social Organic Content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7,200,000</w:t>
      </w:r>
    </w:p>
    <w:p>
      <w:pPr/>
      <w:r>
        <w:rPr>
          <w:rFonts w:ascii="Helvetica" w:hAnsi="Helvetica" w:cs="Helvetica"/>
          <w:sz w:val="25"/>
          <w:sz-cs w:val="25"/>
          <w:spacing w:val="0"/>
        </w:rPr>
        <w:t xml:space="preserve">Organic launch content.</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Social Paid Media Planning</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4,800,000</w:t>
      </w:r>
    </w:p>
    <w:p>
      <w:pPr/>
      <w:r>
        <w:rPr>
          <w:rFonts w:ascii="Helvetica" w:hAnsi="Helvetica" w:cs="Helvetica"/>
          <w:sz w:val="25"/>
          <w:sz-cs w:val="25"/>
          <w:spacing w:val="0"/>
        </w:rPr>
        <w:t xml:space="preserve">Paid planning.</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Social Paid Media Buying &amp; Optimization</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8,900,000</w:t>
      </w:r>
    </w:p>
    <w:p>
      <w:pPr/>
      <w:r>
        <w:rPr>
          <w:rFonts w:ascii="Helvetica" w:hAnsi="Helvetica" w:cs="Helvetica"/>
          <w:sz w:val="25"/>
          <w:sz-cs w:val="25"/>
          <w:spacing w:val="0"/>
        </w:rPr>
        <w:t xml:space="preserve">Service fee only; media spend excluded.</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Kids Advertising &amp; Claims Compliance Review</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0</w:t>
      </w:r>
    </w:p>
    <w:p>
      <w:pPr/>
      <w:r>
        <w:rPr>
          <w:rFonts w:ascii="Helvetica" w:hAnsi="Helvetica" w:cs="Helvetica"/>
          <w:sz w:val="25"/>
          <w:sz-cs w:val="25"/>
          <w:spacing w:val="0"/>
        </w:rPr>
        <w:t xml:space="preserve">Not included; buyer-appointed counsel required.</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Launch Program Management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INR 6,300,000</w:t>
      </w:r>
    </w:p>
    <w:p>
      <w:pPr/>
      <w:r>
        <w:rPr>
          <w:rFonts w:ascii="Helvetica" w:hAnsi="Helvetica" w:cs="Helvetica"/>
          <w:sz w:val="25"/>
          <w:sz-cs w:val="25"/>
          <w:spacing w:val="0"/>
        </w:rPr>
        <w:t xml:space="preserve">Lean PM support.</w:t>
      </w:r>
    </w:p>
    <w:p>
      <w:pPr>
        <w:spacing w:after="160"/>
      </w:pPr>
      <w:r>
        <w:rPr>
          <w:rFonts w:ascii="Helvetica" w:hAnsi="Helvetica" w:cs="Helvetica"/>
          <w:sz w:val="37"/>
          <w:sz-cs w:val="37"/>
          <w:b/>
          <w:spacing w:val="0"/>
        </w:rPr>
        <w:t xml:space="preserve">Exclusions and Assumptions Schedule</w:t>
      </w:r>
    </w:p>
    <w:p>
      <w:pPr/>
      <w:r>
        <w:rPr>
          <w:rFonts w:ascii="Helvetica" w:hAnsi="Helvetica" w:cs="Helvetica"/>
          <w:sz w:val="25"/>
          <w:sz-cs w:val="25"/>
          <w:b/>
          <w:spacing w:val="0"/>
        </w:rPr>
        <w:t xml:space="preserve">Exclusion or Assumption</w:t>
      </w:r>
    </w:p>
    <w:p>
      <w:pPr/>
      <w:r>
        <w:rPr>
          <w:rFonts w:ascii="Helvetica" w:hAnsi="Helvetica" w:cs="Helvetica"/>
          <w:sz w:val="25"/>
          <w:sz-cs w:val="25"/>
          <w:b/>
          <w:spacing w:val="0"/>
        </w:rPr>
        <w:t xml:space="preserve">Affected Line Item</w:t>
      </w:r>
    </w:p>
    <w:p>
      <w:pPr/>
      <w:r>
        <w:rPr>
          <w:rFonts w:ascii="Helvetica" w:hAnsi="Helvetica" w:cs="Helvetica"/>
          <w:sz w:val="25"/>
          <w:sz-cs w:val="25"/>
          <w:b/>
          <w:spacing w:val="0"/>
        </w:rPr>
        <w:t xml:space="preserve">Commercial Impact</w:t>
      </w:r>
    </w:p>
    <w:p>
      <w:pPr/>
      <w:r>
        <w:rPr>
          <w:rFonts w:ascii="Helvetica" w:hAnsi="Helvetica" w:cs="Helvetica"/>
          <w:sz w:val="25"/>
          <w:sz-cs w:val="25"/>
          <w:spacing w:val="0"/>
        </w:rPr>
        <w:t xml:space="preserve">Buyer to appoint and pay external claims counsel.</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This service is not included in our scope.</w:t>
      </w:r>
    </w:p>
    <w:p>
      <w:pPr/>
      <w:r>
        <w:rPr>
          <w:rFonts w:ascii="Helvetica" w:hAnsi="Helvetica" w:cs="Helvetica"/>
          <w:sz w:val="25"/>
          <w:sz-cs w:val="25"/>
          <w:spacing w:val="0"/>
        </w:rPr>
        <w:t xml:space="preserve">Buyer to accept compressed approval cycles and fewer revision rounds.</w:t>
      </w:r>
    </w:p>
    <w:p>
      <w:pPr/>
      <w:r>
        <w:rPr>
          <w:rFonts w:ascii="Helvetica" w:hAnsi="Helvetica" w:cs="Helvetica"/>
          <w:sz w:val="25"/>
          <w:sz-cs w:val="25"/>
          <w:spacing w:val="0"/>
        </w:rPr>
        <w:t xml:space="preserve">li_2, li_3, li_4</w:t>
      </w:r>
    </w:p>
    <w:p>
      <w:pPr/>
      <w:r>
        <w:rPr>
          <w:rFonts w:ascii="Helvetica" w:hAnsi="Helvetica" w:cs="Helvetica"/>
          <w:sz w:val="25"/>
          <w:sz-cs w:val="25"/>
          <w:spacing w:val="0"/>
        </w:rPr>
        <w:t xml:space="preserve">Without this, current timeline is not achievable.</w:t>
      </w:r>
    </w:p>
    <w:p>
      <w:pPr/>
      <w:r>
        <w:rPr>
          <w:rFonts w:ascii="Helvetica" w:hAnsi="Helvetica" w:cs="Helvetica"/>
          <w:sz w:val="25"/>
          <w:sz-cs w:val="25"/>
          <w:spacing w:val="0"/>
        </w:rPr>
        <w:t xml:space="preserve">Paid media spend, translation, and talent rights are excluded.</w:t>
      </w:r>
    </w:p>
    <w:p>
      <w:pPr/>
      <w:r>
        <w:rPr>
          <w:rFonts w:ascii="Helvetica" w:hAnsi="Helvetica" w:cs="Helvetica"/>
          <w:sz w:val="25"/>
          <w:sz-cs w:val="25"/>
          <w:spacing w:val="0"/>
        </w:rPr>
        <w:t xml:space="preserve">li_5, li_6</w:t>
      </w:r>
    </w:p>
    <w:p>
      <w:pPr/>
      <w:r>
        <w:rPr>
          <w:rFonts w:ascii="Helvetica" w:hAnsi="Helvetica" w:cs="Helvetica"/>
          <w:sz w:val="25"/>
          <w:sz-cs w:val="25"/>
          <w:spacing w:val="0"/>
        </w:rPr>
        <w:t xml:space="preserve">Additional external costs would be buyer-funded.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