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Helvetica" w:hAnsi="Helvetica" w:cs="Helvetica"/>
          <w:sz w:val="48"/>
          <w:sz-cs w:val="48"/>
          <w:b/>
          <w:spacing w:val="0"/>
        </w:rPr>
        <w:t xml:space="preserve">BluePeak MediaWorks Submission</w:t>
      </w:r>
    </w:p>
    <w:p>
      <w:pPr>
        <w:spacing w:after="160"/>
      </w:pPr>
      <w:r>
        <w:rPr>
          <w:rFonts w:ascii="Helvetica" w:hAnsi="Helvetica" w:cs="Helvetica"/>
          <w:sz w:val="29"/>
          <w:sz-cs w:val="29"/>
          <w:spacing w:val="0"/>
        </w:rPr>
        <w:t xml:space="preserve">Prepared by: BluePeak MediaWorks Europe-APAC Team | Contact: Javier Mehra | Currency: EUR</w:t>
      </w:r>
    </w:p>
    <w:p>
      <w:pPr>
        <w:spacing w:after="160"/>
      </w:pPr>
      <w:r>
        <w:rPr>
          <w:rFonts w:ascii="Helvetica" w:hAnsi="Helvetica" w:cs="Helvetica"/>
          <w:sz w:val="29"/>
          <w:sz-cs w:val="29"/>
          <w:spacing w:val="0"/>
        </w:rPr>
        <w:t xml:space="preserve">RFQ Reference: RFQ-MKT-KIDS-GL-2026-001 - RFQ for global launch marketing services for new kids health drink</w:t>
      </w:r>
    </w:p>
    <w:p>
      <w:pPr>
        <w:spacing w:after="160"/>
      </w:pPr>
      <w:r>
        <w:rPr>
          <w:rFonts w:ascii="Helvetica" w:hAnsi="Helvetica" w:cs="Helvetica"/>
          <w:sz w:val="37"/>
          <w:sz-cs w:val="37"/>
          <w:b/>
          <w:spacing w:val="0"/>
        </w:rPr>
        <w:t xml:space="preserve">Executive Summary</w:t>
      </w:r>
    </w:p>
    <w:p>
      <w:pPr>
        <w:spacing w:after="160"/>
      </w:pPr>
      <w:r>
        <w:rPr>
          <w:rFonts w:ascii="Helvetica" w:hAnsi="Helvetica" w:cs="Helvetica"/>
          <w:sz w:val="29"/>
          <w:sz-cs w:val="29"/>
          <w:spacing w:val="0"/>
        </w:rPr>
        <w:t xml:space="preserve">This response covers the archived generated questionnaire, the requested service line items, and the commercial pricing schedule expected in the RFQ package.</w:t>
      </w:r>
    </w:p>
    <w:p>
      <w:pPr>
        <w:spacing w:after="160"/>
      </w:pPr>
      <w:r>
        <w:rPr>
          <w:rFonts w:ascii="Helvetica" w:hAnsi="Helvetica" w:cs="Helvetica"/>
          <w:sz w:val="37"/>
          <w:sz-cs w:val="37"/>
          <w:b/>
          <w:spacing w:val="0"/>
        </w:rPr>
        <w:t xml:space="preserve">Agency Overview</w:t>
      </w:r>
    </w:p>
    <w:p>
      <w:pPr>
        <w:spacing w:after="160"/>
      </w:pPr>
      <w:r>
        <w:rPr>
          <w:rFonts w:ascii="Helvetica" w:hAnsi="Helvetica" w:cs="Helvetica"/>
          <w:sz w:val="29"/>
          <w:sz-cs w:val="29"/>
          <w:spacing w:val="0"/>
        </w:rPr>
        <w:t xml:space="preserve">BluePeak MediaWorks operates as a regional network model with shared strategy, creative, media, and regulatory resources across Europe and APAC. For this launch, BluePeak is positioning itself as a cross-market coordination partner with strong adaptation discipline and media integration, but with a more premium commercial model than the benchmark vendor.</w:t>
      </w:r>
    </w:p>
    <w:p>
      <w:pPr>
        <w:spacing w:after="160"/>
      </w:pPr>
      <w:r>
        <w:rPr>
          <w:rFonts w:ascii="Helvetica" w:hAnsi="Helvetica" w:cs="Helvetica"/>
          <w:sz w:val="37"/>
          <w:sz-cs w:val="37"/>
          <w:b/>
          <w:spacing w:val="0"/>
        </w:rPr>
        <w:t xml:space="preserve">Strategic Point of View</w:t>
      </w:r>
    </w:p>
    <w:p>
      <w:pPr>
        <w:spacing w:after="160"/>
      </w:pPr>
      <w:r>
        <w:rPr>
          <w:rFonts w:ascii="Helvetica" w:hAnsi="Helvetica" w:cs="Helvetica"/>
          <w:sz w:val="29"/>
          <w:sz-cs w:val="29"/>
          <w:spacing w:val="0"/>
        </w:rPr>
        <w:t xml:space="preserve">We believe the launch should be built around one claims-safe family-health platform that can flex by market while preserving a single strategic spine across film, social, and activation.</w:t>
      </w:r>
    </w:p>
    <w:p>
      <w:pPr>
        <w:spacing w:after="160"/>
      </w:pPr>
      <w:r>
        <w:rPr>
          <w:rFonts w:ascii="Helvetica" w:hAnsi="Helvetica" w:cs="Helvetica"/>
          <w:sz w:val="37"/>
          <w:sz-cs w:val="37"/>
          <w:b/>
          <w:spacing w:val="0"/>
        </w:rPr>
        <w:t xml:space="preserve">Selected Relevant Work</w:t>
      </w:r>
    </w:p>
    <w:p>
      <w:pPr>
        <w:spacing w:after="160"/>
      </w:pPr>
      <w:r>
        <w:rPr>
          <w:rFonts w:ascii="Helvetica" w:hAnsi="Helvetica" w:cs="Helvetica"/>
          <w:sz w:val="29"/>
          <w:sz-cs w:val="29"/>
          <w:spacing w:val="0"/>
        </w:rPr>
        <w:t xml:space="preserve">- Regional children’s dairy campaign rolled out with one central asset system and local market adaptation packs.</w:t>
      </w:r>
    </w:p>
    <w:p>
      <w:pPr>
        <w:spacing w:after="160"/>
      </w:pPr>
      <w:r>
        <w:rPr>
          <w:rFonts w:ascii="Helvetica" w:hAnsi="Helvetica" w:cs="Helvetica"/>
          <w:sz w:val="29"/>
          <w:sz-cs w:val="29"/>
          <w:spacing w:val="0"/>
        </w:rPr>
        <w:t xml:space="preserve">- Consumer health launch using synchronized creative, media planning, and compliance review across EMEA and Asia.</w:t>
      </w:r>
    </w:p>
    <w:p>
      <w:pPr>
        <w:spacing w:after="160"/>
      </w:pPr>
      <w:r>
        <w:rPr>
          <w:rFonts w:ascii="Helvetica" w:hAnsi="Helvetica" w:cs="Helvetica"/>
          <w:sz w:val="37"/>
          <w:sz-cs w:val="37"/>
          <w:b/>
          <w:spacing w:val="0"/>
        </w:rPr>
        <w:t xml:space="preserve">Questionnaire Responses</w:t>
      </w:r>
    </w:p>
    <w:p>
      <w:pPr>
        <w:spacing w:after="120"/>
      </w:pPr>
      <w:r>
        <w:rPr>
          <w:rFonts w:ascii="Helvetica" w:hAnsi="Helvetica" w:cs="Helvetica"/>
          <w:sz w:val="30"/>
          <w:sz-cs w:val="30"/>
          <w:b/>
          <w:spacing w:val="0"/>
        </w:rPr>
        <w:t xml:space="preserve">q_cr_mac_1</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Confirm whether your agency can support child-directed advertising for this launch. Answer Yes or No and identify the in-house team or partner capability that will perform this work.</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Yes. Child-directed advertising support would be provided by our Youth Audience Strategy Lead and the regional policy reviewers assigned to the account.</w:t>
      </w:r>
    </w:p>
    <w:p>
      <w:pPr>
        <w:spacing w:after="120"/>
      </w:pPr>
      <w:r>
        <w:rPr>
          <w:rFonts w:ascii="Helvetica" w:hAnsi="Helvetica" w:cs="Helvetica"/>
          <w:sz w:val="30"/>
          <w:sz-cs w:val="30"/>
          <w:b/>
          <w:spacing w:val="0"/>
        </w:rPr>
        <w:t xml:space="preserve">q_cr_mac_2</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Confirm whether your agency can support claims review for launch assets and product-related claims. Answer Yes or No and identify the in-house team or partner capability that will perform this work.</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Yes. Claims review support would be provided through our central regulatory desk with local counsel review in India, the UK, and key launch markets.</w:t>
      </w:r>
    </w:p>
    <w:p>
      <w:pPr>
        <w:spacing w:after="120"/>
      </w:pPr>
      <w:r>
        <w:rPr>
          <w:rFonts w:ascii="Helvetica" w:hAnsi="Helvetica" w:cs="Helvetica"/>
          <w:sz w:val="30"/>
          <w:sz-cs w:val="30"/>
          <w:b/>
          <w:spacing w:val="0"/>
        </w:rPr>
        <w:t xml:space="preserve">q_cr_mac_3</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Provide the full name, role title, and email address of the named engagement lead who will own this launch program.</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Javier Mehra, Client Partner, javier.mehra@bluepeakmediaworks.com. Javier would be the accountable engagement lead for scope, budget, and cross-market alignment.</w:t>
      </w:r>
    </w:p>
    <w:p>
      <w:pPr>
        <w:spacing w:after="120"/>
      </w:pPr>
      <w:r>
        <w:rPr>
          <w:rFonts w:ascii="Helvetica" w:hAnsi="Helvetica" w:cs="Helvetica"/>
          <w:sz w:val="30"/>
          <w:sz-cs w:val="30"/>
          <w:b/>
          <w:spacing w:val="0"/>
        </w:rPr>
        <w:t xml:space="preserve">q_cr_mac_4</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Confirm whether you are providing a launch governance approach. Answer Yes or No and submit a brief overview covering meeting cadence, decision ownership, and escalation.</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Yes. We propose a weekly client steering call, Monday delivery huddle, and a formal approval tracker owned by the PMO lead. Material risks move from workstream leads to the client partner and then to a joint escalation forum within one business day.</w:t>
      </w:r>
    </w:p>
    <w:p>
      <w:pPr>
        <w:spacing w:after="120"/>
      </w:pPr>
      <w:r>
        <w:rPr>
          <w:rFonts w:ascii="Helvetica" w:hAnsi="Helvetica" w:cs="Helvetica"/>
          <w:sz w:val="30"/>
          <w:sz-cs w:val="30"/>
          <w:b/>
          <w:spacing w:val="0"/>
        </w:rPr>
        <w:t xml:space="preserve">q_cr_mac_5</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State whether the buyer launch timelines are achievable. Select one option: Achievable as issued / Achievable with dependencies / Not achievable. Then list the key dependencies or constraints, or state None.</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Achievable as issued. Standard buyer approvals within the agreed turnaround windows will be sufficient; no exceptional dependencies or scope caveats are required beyond normal launch governance inputs.</w:t>
      </w:r>
    </w:p>
    <w:p>
      <w:pPr>
        <w:spacing w:after="120"/>
      </w:pPr>
      <w:r>
        <w:rPr>
          <w:rFonts w:ascii="Helvetica" w:hAnsi="Helvetica" w:cs="Helvetica"/>
          <w:sz w:val="30"/>
          <w:sz-cs w:val="30"/>
          <w:b/>
          <w:spacing w:val="0"/>
        </w:rPr>
        <w:t xml:space="preserve">q_cr_tech_1</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Describe your end-to-end approach for ensuring child-directed marketing safety and claims usage compliance across strategy, creative, TVC, social, and launch approvals. Include where reviews occur, who owns them, how issues are escalated, and how rework is prevented.</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Our compliance operating model places checkpoints at briefing, audience and message architecture approval, creative territory selection, storyboard approval, final script, pre-shoot legal lock, rough cut, final cut, and market adaptation release. One compliance lead owns the child-directed advertising and claims register, red-flags deviations immediately, and can hold release until written closure is recorded. This control log is shared across strategy, creative, production, social, and media teams so rework is prevented before assets progress.</w:t>
      </w:r>
    </w:p>
    <w:p>
      <w:pPr>
        <w:spacing w:after="120"/>
      </w:pPr>
      <w:r>
        <w:rPr>
          <w:rFonts w:ascii="Helvetica" w:hAnsi="Helvetica" w:cs="Helvetica"/>
          <w:sz w:val="30"/>
          <w:sz-cs w:val="30"/>
          <w:b/>
          <w:spacing w:val="0"/>
        </w:rPr>
        <w:t xml:space="preserve">q_cr_tech_2</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Provide your proposed launch workplan from kickoff to launch, showing key stages for strategy, creative, TVC, social, compliance review, and program management. Explain how approvals will be managed, what the critical dependencies are, and how schedule risks will be controlled.</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We would protect the launch calendar through parallel workstreams, pre-booked production and post capacity, a milestone tracker shared with the buyer, and clear approval SLAs by stage. Critical dependencies are buyer approvals, claims wording freeze, and market adaptation decisions; each has an owner, target turnaround, and recovery path. If a delay appears, we trigger same-day escalation and preserve launch dates by separating non-critical local adaptations from the master asset path while keeping film, social, and compliance reviews synchronized.</w:t>
      </w:r>
    </w:p>
    <w:p>
      <w:pPr>
        <w:spacing w:after="120"/>
      </w:pPr>
      <w:r>
        <w:rPr>
          <w:rFonts w:ascii="Helvetica" w:hAnsi="Helvetica" w:cs="Helvetica"/>
          <w:sz w:val="30"/>
          <w:sz-cs w:val="30"/>
          <w:b/>
          <w:spacing w:val="0"/>
        </w:rPr>
        <w:t xml:space="preserve">q_cr_tech_3</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Describe your approach to launch strategy and creative development for the new kids health drink, including audience segmentation, messaging framework, creative territory development, and how the master campaign idea will be carried into launch assets.</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Our strategy and creative approach starts with caregiver trust plus kid appeal, then builds one claims-safe master campaign idea that travels from flagship film into social, retail, and launch governance assets. We would define audience segments, message roles, and creative territories before development begins, then translate the chosen route into a modular toolkit so the same strategic spine carries into launch assets without resetting core approvals.</w:t>
      </w:r>
    </w:p>
    <w:p>
      <w:pPr>
        <w:spacing w:after="120"/>
      </w:pPr>
      <w:r>
        <w:rPr>
          <w:rFonts w:ascii="Helvetica" w:hAnsi="Helvetica" w:cs="Helvetica"/>
          <w:sz w:val="30"/>
          <w:sz-cs w:val="30"/>
          <w:b/>
          <w:spacing w:val="0"/>
        </w:rPr>
        <w:t xml:space="preserve">q_cr_tech_4</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Describe your approach to TVC development and production for the global launch, covering concept development, pre-production, shoot management, post-production, and delivery of the master film and cutdowns for paid media use.</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We would handle TVC development and production through one integrated film workstream covering concept development, script and storyboard, production-board approval, shoot planning, post-production, and delivery of the master film with paid-media cutdowns. One lead producer owns schedule and handoffs, while compliance reviewers stay active before shoot lock, at rough cut, and at final release. This gives the buyer one controlled path from concept to delivered hero film and cutdowns without fragmented ownership.</w:t>
      </w:r>
    </w:p>
    <w:p>
      <w:pPr>
        <w:spacing w:after="160"/>
      </w:pPr>
      <w:r>
        <w:rPr>
          <w:rFonts w:ascii="Helvetica" w:hAnsi="Helvetica" w:cs="Helvetica"/>
          <w:sz w:val="37"/>
          <w:sz-cs w:val="37"/>
          <w:b/>
          <w:spacing w:val="0"/>
        </w:rPr>
        <w:t xml:space="preserve">Commercial Pricing Schedule</w:t>
      </w:r>
    </w:p>
    <w:p>
      <w:pPr/>
      <w:r>
        <w:rPr>
          <w:rFonts w:ascii="Helvetica" w:hAnsi="Helvetica" w:cs="Helvetica"/>
          <w:sz w:val="25"/>
          <w:sz-cs w:val="25"/>
          <w:b/>
          <w:spacing w:val="0"/>
        </w:rPr>
        <w:t xml:space="preserve">Line Item Ref</w:t>
      </w:r>
    </w:p>
    <w:p>
      <w:pPr/>
      <w:r>
        <w:rPr>
          <w:rFonts w:ascii="Helvetica" w:hAnsi="Helvetica" w:cs="Helvetica"/>
          <w:sz w:val="25"/>
          <w:sz-cs w:val="25"/>
          <w:b/>
          <w:spacing w:val="0"/>
        </w:rPr>
        <w:t xml:space="preserve">Line Item Name</w:t>
      </w:r>
    </w:p>
    <w:p>
      <w:pPr/>
      <w:r>
        <w:rPr>
          <w:rFonts w:ascii="Helvetica" w:hAnsi="Helvetica" w:cs="Helvetica"/>
          <w:sz w:val="25"/>
          <w:sz-cs w:val="25"/>
          <w:b/>
          <w:spacing w:val="0"/>
        </w:rPr>
        <w:t xml:space="preserve">Included in Quote</w:t>
      </w:r>
    </w:p>
    <w:p>
      <w:pPr/>
      <w:r>
        <w:rPr>
          <w:rFonts w:ascii="Helvetica" w:hAnsi="Helvetica" w:cs="Helvetica"/>
          <w:sz w:val="25"/>
          <w:sz-cs w:val="25"/>
          <w:b/>
          <w:spacing w:val="0"/>
        </w:rPr>
        <w:t xml:space="preserve">Currency</w:t>
      </w:r>
    </w:p>
    <w:p>
      <w:pPr/>
      <w:r>
        <w:rPr>
          <w:rFonts w:ascii="Helvetica" w:hAnsi="Helvetica" w:cs="Helvetica"/>
          <w:sz w:val="25"/>
          <w:sz-cs w:val="25"/>
          <w:b/>
          <w:spacing w:val="0"/>
        </w:rPr>
        <w:t xml:space="preserve">Total Price</w:t>
      </w:r>
    </w:p>
    <w:p>
      <w:pPr/>
      <w:r>
        <w:rPr>
          <w:rFonts w:ascii="Helvetica" w:hAnsi="Helvetica" w:cs="Helvetica"/>
          <w:sz w:val="25"/>
          <w:sz-cs w:val="25"/>
          <w:b/>
          <w:spacing w:val="0"/>
        </w:rPr>
        <w:t xml:space="preserve">Exclusions or Assumptions</w:t>
      </w:r>
    </w:p>
    <w:p>
      <w:pPr/>
      <w:r>
        <w:rPr>
          <w:rFonts w:ascii="Helvetica" w:hAnsi="Helvetica" w:cs="Helvetica"/>
          <w:sz w:val="25"/>
          <w:sz-cs w:val="25"/>
          <w:spacing w:val="0"/>
        </w:rPr>
        <w:t xml:space="preserve">li_1</w:t>
      </w:r>
    </w:p>
    <w:p>
      <w:pPr/>
      <w:r>
        <w:rPr>
          <w:rFonts w:ascii="Helvetica" w:hAnsi="Helvetica" w:cs="Helvetica"/>
          <w:sz w:val="25"/>
          <w:sz-cs w:val="25"/>
          <w:spacing w:val="0"/>
        </w:rPr>
        <w:t xml:space="preserve">Strategy &amp; Creative Development</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EUR</w:t>
      </w:r>
    </w:p>
    <w:p>
      <w:pPr/>
      <w:r>
        <w:rPr>
          <w:rFonts w:ascii="Helvetica" w:hAnsi="Helvetica" w:cs="Helvetica"/>
          <w:sz w:val="25"/>
          <w:sz-cs w:val="25"/>
          <w:spacing w:val="0"/>
        </w:rPr>
        <w:t xml:space="preserve">365000</w:t>
      </w:r>
    </w:p>
    <w:p>
      <w:pPr/>
      <w:r>
        <w:rPr>
          <w:rFonts w:ascii="Helvetica" w:hAnsi="Helvetica" w:cs="Helvetica"/>
          <w:sz w:val="25"/>
          <w:sz-cs w:val="25"/>
          <w:spacing w:val="0"/>
        </w:rPr>
        <w:t xml:space="preserve">Regional adaptation planning included.</w:t>
      </w:r>
    </w:p>
    <w:p>
      <w:pPr/>
      <w:r>
        <w:rPr>
          <w:rFonts w:ascii="Helvetica" w:hAnsi="Helvetica" w:cs="Helvetica"/>
          <w:sz w:val="25"/>
          <w:sz-cs w:val="25"/>
          <w:spacing w:val="0"/>
        </w:rPr>
        <w:t xml:space="preserve">li_2</w:t>
      </w:r>
    </w:p>
    <w:p>
      <w:pPr/>
      <w:r>
        <w:rPr>
          <w:rFonts w:ascii="Helvetica" w:hAnsi="Helvetica" w:cs="Helvetica"/>
          <w:sz w:val="25"/>
          <w:sz-cs w:val="25"/>
          <w:spacing w:val="0"/>
        </w:rPr>
        <w:t xml:space="preserve">TVC Development</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EUR</w:t>
      </w:r>
    </w:p>
    <w:p>
      <w:pPr/>
      <w:r>
        <w:rPr>
          <w:rFonts w:ascii="Helvetica" w:hAnsi="Helvetica" w:cs="Helvetica"/>
          <w:sz w:val="25"/>
          <w:sz-cs w:val="25"/>
          <w:spacing w:val="0"/>
        </w:rPr>
        <w:t xml:space="preserve">238000</w:t>
      </w:r>
    </w:p>
    <w:p>
      <w:pPr/>
      <w:r>
        <w:rPr>
          <w:rFonts w:ascii="Helvetica" w:hAnsi="Helvetica" w:cs="Helvetica"/>
          <w:sz w:val="25"/>
          <w:sz-cs w:val="25"/>
          <w:spacing w:val="0"/>
        </w:rPr>
        <w:t xml:space="preserve">Concept, script, and storyboard included.</w:t>
      </w:r>
    </w:p>
    <w:p>
      <w:pPr/>
      <w:r>
        <w:rPr>
          <w:rFonts w:ascii="Helvetica" w:hAnsi="Helvetica" w:cs="Helvetica"/>
          <w:sz w:val="25"/>
          <w:sz-cs w:val="25"/>
          <w:spacing w:val="0"/>
        </w:rPr>
        <w:t xml:space="preserve">li_3</w:t>
      </w:r>
    </w:p>
    <w:p>
      <w:pPr/>
      <w:r>
        <w:rPr>
          <w:rFonts w:ascii="Helvetica" w:hAnsi="Helvetica" w:cs="Helvetica"/>
          <w:sz w:val="25"/>
          <w:sz-cs w:val="25"/>
          <w:spacing w:val="0"/>
        </w:rPr>
        <w:t xml:space="preserve">TVC Production</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EUR</w:t>
      </w:r>
    </w:p>
    <w:p>
      <w:pPr/>
      <w:r>
        <w:rPr>
          <w:rFonts w:ascii="Helvetica" w:hAnsi="Helvetica" w:cs="Helvetica"/>
          <w:sz w:val="25"/>
          <w:sz-cs w:val="25"/>
          <w:spacing w:val="0"/>
        </w:rPr>
        <w:t xml:space="preserve">760000</w:t>
      </w:r>
    </w:p>
    <w:p>
      <w:pPr/>
      <w:r>
        <w:rPr>
          <w:rFonts w:ascii="Helvetica" w:hAnsi="Helvetica" w:cs="Helvetica"/>
          <w:sz w:val="25"/>
          <w:sz-cs w:val="25"/>
          <w:spacing w:val="0"/>
        </w:rPr>
        <w:t xml:space="preserve">Production and post-production included.</w:t>
      </w:r>
    </w:p>
    <w:p>
      <w:pPr/>
      <w:r>
        <w:rPr>
          <w:rFonts w:ascii="Helvetica" w:hAnsi="Helvetica" w:cs="Helvetica"/>
          <w:sz w:val="25"/>
          <w:sz-cs w:val="25"/>
          <w:spacing w:val="0"/>
        </w:rPr>
        <w:t xml:space="preserve">li_4</w:t>
      </w:r>
    </w:p>
    <w:p>
      <w:pPr/>
      <w:r>
        <w:rPr>
          <w:rFonts w:ascii="Helvetica" w:hAnsi="Helvetica" w:cs="Helvetica"/>
          <w:sz w:val="25"/>
          <w:sz-cs w:val="25"/>
          <w:spacing w:val="0"/>
        </w:rPr>
        <w:t xml:space="preserve">Social Organic Content</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EUR</w:t>
      </w:r>
    </w:p>
    <w:p>
      <w:pPr/>
      <w:r>
        <w:rPr>
          <w:rFonts w:ascii="Helvetica" w:hAnsi="Helvetica" w:cs="Helvetica"/>
          <w:sz w:val="25"/>
          <w:sz-cs w:val="25"/>
          <w:spacing w:val="0"/>
        </w:rPr>
        <w:t xml:space="preserve">182000</w:t>
      </w:r>
    </w:p>
    <w:p>
      <w:pPr/>
      <w:r>
        <w:rPr>
          <w:rFonts w:ascii="Helvetica" w:hAnsi="Helvetica" w:cs="Helvetica"/>
          <w:sz w:val="25"/>
          <w:sz-cs w:val="25"/>
          <w:spacing w:val="0"/>
        </w:rPr>
        <w:t xml:space="preserve">Regional transcreation priced for priority launch markets only.</w:t>
      </w:r>
    </w:p>
    <w:p>
      <w:pPr/>
      <w:r>
        <w:rPr>
          <w:rFonts w:ascii="Helvetica" w:hAnsi="Helvetica" w:cs="Helvetica"/>
          <w:sz w:val="25"/>
          <w:sz-cs w:val="25"/>
          <w:spacing w:val="0"/>
        </w:rPr>
        <w:t xml:space="preserve">li_5</w:t>
      </w:r>
    </w:p>
    <w:p>
      <w:pPr/>
      <w:r>
        <w:rPr>
          <w:rFonts w:ascii="Helvetica" w:hAnsi="Helvetica" w:cs="Helvetica"/>
          <w:sz w:val="25"/>
          <w:sz-cs w:val="25"/>
          <w:spacing w:val="0"/>
        </w:rPr>
        <w:t xml:space="preserve">Social Paid Media Planning</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EUR</w:t>
      </w:r>
    </w:p>
    <w:p>
      <w:pPr/>
      <w:r>
        <w:rPr>
          <w:rFonts w:ascii="Helvetica" w:hAnsi="Helvetica" w:cs="Helvetica"/>
          <w:sz w:val="25"/>
          <w:sz-cs w:val="25"/>
          <w:spacing w:val="0"/>
        </w:rPr>
        <w:t xml:space="preserve">150000</w:t>
      </w:r>
    </w:p>
    <w:p>
      <w:pPr/>
      <w:r>
        <w:rPr>
          <w:rFonts w:ascii="Helvetica" w:hAnsi="Helvetica" w:cs="Helvetica"/>
          <w:sz w:val="25"/>
          <w:sz-cs w:val="25"/>
          <w:spacing w:val="0"/>
        </w:rPr>
        <w:t xml:space="preserve">Paid media strategy and phasing included.</w:t>
      </w:r>
    </w:p>
    <w:p>
      <w:pPr/>
      <w:r>
        <w:rPr>
          <w:rFonts w:ascii="Helvetica" w:hAnsi="Helvetica" w:cs="Helvetica"/>
          <w:sz w:val="25"/>
          <w:sz-cs w:val="25"/>
          <w:spacing w:val="0"/>
        </w:rPr>
        <w:t xml:space="preserve">li_6</w:t>
      </w:r>
    </w:p>
    <w:p>
      <w:pPr/>
      <w:r>
        <w:rPr>
          <w:rFonts w:ascii="Helvetica" w:hAnsi="Helvetica" w:cs="Helvetica"/>
          <w:sz w:val="25"/>
          <w:sz-cs w:val="25"/>
          <w:spacing w:val="0"/>
        </w:rPr>
        <w:t xml:space="preserve">Social Paid Media Buying &amp; Optimization</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EUR</w:t>
      </w:r>
    </w:p>
    <w:p>
      <w:pPr/>
      <w:r>
        <w:rPr>
          <w:rFonts w:ascii="Helvetica" w:hAnsi="Helvetica" w:cs="Helvetica"/>
          <w:sz w:val="25"/>
          <w:sz-cs w:val="25"/>
          <w:spacing w:val="0"/>
        </w:rPr>
        <w:t xml:space="preserve">302000</w:t>
      </w:r>
    </w:p>
    <w:p>
      <w:pPr/>
      <w:r>
        <w:rPr>
          <w:rFonts w:ascii="Helvetica" w:hAnsi="Helvetica" w:cs="Helvetica"/>
          <w:sz w:val="25"/>
          <w:sz-cs w:val="25"/>
          <w:spacing w:val="0"/>
        </w:rPr>
        <w:t xml:space="preserve">Media spend excluded from fee.</w:t>
      </w:r>
    </w:p>
    <w:p>
      <w:pPr/>
      <w:r>
        <w:rPr>
          <w:rFonts w:ascii="Helvetica" w:hAnsi="Helvetica" w:cs="Helvetica"/>
          <w:sz w:val="25"/>
          <w:sz-cs w:val="25"/>
          <w:spacing w:val="0"/>
        </w:rPr>
        <w:t xml:space="preserve">li_7</w:t>
      </w:r>
    </w:p>
    <w:p>
      <w:pPr/>
      <w:r>
        <w:rPr>
          <w:rFonts w:ascii="Helvetica" w:hAnsi="Helvetica" w:cs="Helvetica"/>
          <w:sz w:val="25"/>
          <w:sz-cs w:val="25"/>
          <w:spacing w:val="0"/>
        </w:rPr>
        <w:t xml:space="preserve">Kids Advertising &amp; Claims Compliance Review</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EUR</w:t>
      </w:r>
    </w:p>
    <w:p>
      <w:pPr/>
      <w:r>
        <w:rPr>
          <w:rFonts w:ascii="Helvetica" w:hAnsi="Helvetica" w:cs="Helvetica"/>
          <w:sz w:val="25"/>
          <w:sz-cs w:val="25"/>
          <w:spacing w:val="0"/>
        </w:rPr>
        <w:t xml:space="preserve">176000</w:t>
      </w:r>
    </w:p>
    <w:p>
      <w:pPr/>
      <w:r>
        <w:rPr>
          <w:rFonts w:ascii="Helvetica" w:hAnsi="Helvetica" w:cs="Helvetica"/>
          <w:sz w:val="25"/>
          <w:sz-cs w:val="25"/>
          <w:spacing w:val="0"/>
        </w:rPr>
        <w:t xml:space="preserve">Central plus local counsel review included.</w:t>
      </w:r>
    </w:p>
    <w:p>
      <w:pPr/>
      <w:r>
        <w:rPr>
          <w:rFonts w:ascii="Helvetica" w:hAnsi="Helvetica" w:cs="Helvetica"/>
          <w:sz w:val="25"/>
          <w:sz-cs w:val="25"/>
          <w:spacing w:val="0"/>
        </w:rPr>
        <w:t xml:space="preserve">li_8</w:t>
      </w:r>
    </w:p>
    <w:p>
      <w:pPr/>
      <w:r>
        <w:rPr>
          <w:rFonts w:ascii="Helvetica" w:hAnsi="Helvetica" w:cs="Helvetica"/>
          <w:sz w:val="25"/>
          <w:sz-cs w:val="25"/>
          <w:spacing w:val="0"/>
        </w:rPr>
        <w:t xml:space="preserve">Launch Program Management</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EUR</w:t>
      </w:r>
    </w:p>
    <w:p>
      <w:pPr/>
      <w:r>
        <w:rPr>
          <w:rFonts w:ascii="Helvetica" w:hAnsi="Helvetica" w:cs="Helvetica"/>
          <w:sz w:val="25"/>
          <w:sz-cs w:val="25"/>
          <w:spacing w:val="0"/>
        </w:rPr>
        <w:t xml:space="preserve">242000</w:t>
      </w:r>
    </w:p>
    <w:p>
      <w:pPr/>
      <w:r>
        <w:rPr>
          <w:rFonts w:ascii="Helvetica" w:hAnsi="Helvetica" w:cs="Helvetica"/>
          <w:sz w:val="25"/>
          <w:sz-cs w:val="25"/>
          <w:spacing w:val="0"/>
        </w:rPr>
        <w:t xml:space="preserve">PMO and reporting included.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